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38C32" w14:textId="26804AF0" w:rsidR="00B9293B" w:rsidRPr="000A5C01" w:rsidRDefault="00B9293B" w:rsidP="00B9293B">
      <w:pPr>
        <w:ind w:hanging="11"/>
        <w:jc w:val="center"/>
        <w:rPr>
          <w:rFonts w:ascii="Bookman Old Style" w:hAnsi="Bookman Old Style"/>
          <w:b/>
          <w:bCs/>
        </w:rPr>
      </w:pPr>
      <w:r w:rsidRPr="000A5C01">
        <w:rPr>
          <w:rFonts w:ascii="Bookman Old Style" w:hAnsi="Bookman Old Style"/>
          <w:b/>
          <w:bCs/>
        </w:rPr>
        <w:t>Brief Insights for Those Who Seek Exemptions for Convictions of Conscience</w:t>
      </w:r>
    </w:p>
    <w:p w14:paraId="471FCEA1" w14:textId="77777777" w:rsidR="00B9293B" w:rsidRPr="000A5C01" w:rsidRDefault="00B9293B" w:rsidP="008B6A82">
      <w:pPr>
        <w:ind w:hanging="11"/>
        <w:jc w:val="both"/>
        <w:rPr>
          <w:rFonts w:ascii="Bookman Old Style" w:hAnsi="Bookman Old Style"/>
        </w:rPr>
      </w:pPr>
    </w:p>
    <w:p w14:paraId="459E581A" w14:textId="77777777" w:rsidR="00EC1427" w:rsidRPr="000A5C01" w:rsidRDefault="006534F6" w:rsidP="008B6A82">
      <w:pPr>
        <w:pStyle w:val="ListParagraph"/>
        <w:numPr>
          <w:ilvl w:val="0"/>
          <w:numId w:val="1"/>
        </w:numPr>
        <w:ind w:left="0" w:hanging="11"/>
        <w:jc w:val="both"/>
        <w:rPr>
          <w:rFonts w:ascii="Bookman Old Style" w:hAnsi="Bookman Old Style"/>
          <w:b/>
          <w:bCs/>
          <w:color w:val="000000" w:themeColor="text1"/>
        </w:rPr>
      </w:pPr>
      <w:r w:rsidRPr="000A5C01">
        <w:rPr>
          <w:rFonts w:ascii="Bookman Old Style" w:hAnsi="Bookman Old Style"/>
          <w:b/>
          <w:bCs/>
          <w:color w:val="000000" w:themeColor="text1"/>
        </w:rPr>
        <w:t>Federal</w:t>
      </w:r>
      <w:r w:rsidR="00EC1427" w:rsidRPr="000A5C01">
        <w:rPr>
          <w:rFonts w:ascii="Bookman Old Style" w:hAnsi="Bookman Old Style"/>
          <w:b/>
          <w:bCs/>
          <w:color w:val="000000" w:themeColor="text1"/>
        </w:rPr>
        <w:t xml:space="preserve"> and Provincial Employers </w:t>
      </w:r>
    </w:p>
    <w:p w14:paraId="251CF9D5" w14:textId="77777777" w:rsidR="00EC1427" w:rsidRPr="000A5C01" w:rsidRDefault="00EC1427" w:rsidP="00EC1427">
      <w:pPr>
        <w:pStyle w:val="ListParagraph"/>
        <w:ind w:left="0"/>
        <w:jc w:val="both"/>
        <w:rPr>
          <w:rFonts w:ascii="Bookman Old Style" w:hAnsi="Bookman Old Style"/>
          <w:b/>
          <w:bCs/>
          <w:color w:val="000000" w:themeColor="text1"/>
        </w:rPr>
      </w:pPr>
    </w:p>
    <w:p w14:paraId="02DC8B0C" w14:textId="464D52F7" w:rsidR="006E60BC" w:rsidRPr="000A5C01" w:rsidRDefault="00EC1427" w:rsidP="00EC1427">
      <w:pPr>
        <w:pStyle w:val="ListParagraph"/>
        <w:ind w:left="0"/>
        <w:jc w:val="both"/>
        <w:rPr>
          <w:rFonts w:ascii="Bookman Old Style" w:hAnsi="Bookman Old Style"/>
          <w:color w:val="000000" w:themeColor="text1"/>
        </w:rPr>
      </w:pPr>
      <w:r w:rsidRPr="000A5C01">
        <w:rPr>
          <w:rFonts w:ascii="Bookman Old Style" w:hAnsi="Bookman Old Style"/>
          <w:color w:val="000000" w:themeColor="text1"/>
        </w:rPr>
        <w:t xml:space="preserve">Federal and provincial employers are subject to the </w:t>
      </w:r>
      <w:r w:rsidRPr="000A5C01">
        <w:rPr>
          <w:rFonts w:ascii="Bookman Old Style" w:hAnsi="Bookman Old Style"/>
          <w:i/>
          <w:iCs/>
          <w:color w:val="000000" w:themeColor="text1"/>
        </w:rPr>
        <w:t>Charter</w:t>
      </w:r>
      <w:r w:rsidRPr="000A5C01">
        <w:rPr>
          <w:rFonts w:ascii="Bookman Old Style" w:hAnsi="Bookman Old Style"/>
          <w:color w:val="000000" w:themeColor="text1"/>
        </w:rPr>
        <w:t xml:space="preserve"> (Banks Airlines Transit) Universities and Hospitals- Private post-secondary education is not subject to the </w:t>
      </w:r>
      <w:r w:rsidRPr="000A5C01">
        <w:rPr>
          <w:rFonts w:ascii="Bookman Old Style" w:hAnsi="Bookman Old Style"/>
          <w:i/>
          <w:iCs/>
          <w:color w:val="000000" w:themeColor="text1"/>
        </w:rPr>
        <w:t>Charter</w:t>
      </w:r>
      <w:r w:rsidR="00123609" w:rsidRPr="000A5C01">
        <w:rPr>
          <w:rFonts w:ascii="Bookman Old Style" w:hAnsi="Bookman Old Style"/>
          <w:i/>
          <w:iCs/>
          <w:color w:val="000000" w:themeColor="text1"/>
        </w:rPr>
        <w:t xml:space="preserve">. </w:t>
      </w:r>
      <w:r w:rsidR="00123609" w:rsidRPr="000A5C01">
        <w:rPr>
          <w:rFonts w:ascii="Bookman Old Style" w:hAnsi="Bookman Old Style"/>
          <w:color w:val="000000" w:themeColor="text1"/>
        </w:rPr>
        <w:t xml:space="preserve">All other employers are not subject to the </w:t>
      </w:r>
      <w:r w:rsidR="00123609" w:rsidRPr="000A5C01">
        <w:rPr>
          <w:rFonts w:ascii="Bookman Old Style" w:hAnsi="Bookman Old Style"/>
          <w:i/>
          <w:iCs/>
          <w:color w:val="000000" w:themeColor="text1"/>
        </w:rPr>
        <w:t>Charter</w:t>
      </w:r>
      <w:r w:rsidR="00123609" w:rsidRPr="000A5C01">
        <w:rPr>
          <w:rFonts w:ascii="Bookman Old Style" w:hAnsi="Bookman Old Style"/>
          <w:color w:val="000000" w:themeColor="text1"/>
        </w:rPr>
        <w:t xml:space="preserve"> but would be subject to provincial human rights legislation. </w:t>
      </w:r>
    </w:p>
    <w:p w14:paraId="04E1B6CF" w14:textId="622EC3CB" w:rsidR="006534F6" w:rsidRPr="000A5C01" w:rsidRDefault="006534F6" w:rsidP="008B6A82">
      <w:pPr>
        <w:ind w:hanging="11"/>
        <w:rPr>
          <w:rFonts w:ascii="Bookman Old Style" w:hAnsi="Bookman Old Style"/>
          <w:lang w:val="en-CA"/>
        </w:rPr>
      </w:pPr>
    </w:p>
    <w:p w14:paraId="12D3C195" w14:textId="77777777" w:rsidR="00EC1427" w:rsidRPr="000A5C01" w:rsidRDefault="00EC1427" w:rsidP="00EC1427">
      <w:pPr>
        <w:jc w:val="both"/>
        <w:rPr>
          <w:rFonts w:ascii="Bookman Old Style" w:hAnsi="Bookman Old Style"/>
          <w:color w:val="000000" w:themeColor="text1"/>
        </w:rPr>
      </w:pPr>
      <w:r w:rsidRPr="000A5C01">
        <w:rPr>
          <w:rFonts w:ascii="Bookman Old Style" w:hAnsi="Bookman Old Style"/>
          <w:color w:val="000000" w:themeColor="text1"/>
        </w:rPr>
        <w:t xml:space="preserve">On August 13, 2021, the Government of Canada announced that it will require all federal public servants to be fully vaccinated as early as by the end of September 2021. In addition, the Government of Canada also announced its intention to require </w:t>
      </w:r>
      <w:proofErr w:type="gramStart"/>
      <w:r w:rsidRPr="000A5C01">
        <w:rPr>
          <w:rFonts w:ascii="Bookman Old Style" w:hAnsi="Bookman Old Style"/>
          <w:color w:val="000000" w:themeColor="text1"/>
        </w:rPr>
        <w:t>federally-regulated</w:t>
      </w:r>
      <w:proofErr w:type="gramEnd"/>
      <w:r w:rsidRPr="000A5C01">
        <w:rPr>
          <w:rFonts w:ascii="Bookman Old Style" w:hAnsi="Bookman Old Style"/>
          <w:color w:val="000000" w:themeColor="text1"/>
        </w:rPr>
        <w:t xml:space="preserve"> employees in the air, rail and marine sectors to be fully vaccinated by no later than the end of October 2021. The Government of Canada also expects that Crown corporations and other </w:t>
      </w:r>
      <w:proofErr w:type="gramStart"/>
      <w:r w:rsidRPr="000A5C01">
        <w:rPr>
          <w:rFonts w:ascii="Bookman Old Style" w:hAnsi="Bookman Old Style"/>
          <w:color w:val="000000" w:themeColor="text1"/>
        </w:rPr>
        <w:t>federally-regulated</w:t>
      </w:r>
      <w:proofErr w:type="gramEnd"/>
      <w:r w:rsidRPr="000A5C01">
        <w:rPr>
          <w:rFonts w:ascii="Bookman Old Style" w:hAnsi="Bookman Old Style"/>
          <w:color w:val="000000" w:themeColor="text1"/>
        </w:rPr>
        <w:t xml:space="preserve"> employers will require mandatory vaccination of employees.</w:t>
      </w:r>
      <w:r w:rsidRPr="000A5C01">
        <w:rPr>
          <w:rStyle w:val="EndnoteReference"/>
          <w:rFonts w:ascii="Bookman Old Style" w:hAnsi="Bookman Old Style"/>
          <w:color w:val="000000" w:themeColor="text1"/>
        </w:rPr>
        <w:endnoteReference w:id="1"/>
      </w:r>
    </w:p>
    <w:p w14:paraId="60B62E6B" w14:textId="77777777" w:rsidR="00EC1427" w:rsidRPr="000A5C01" w:rsidRDefault="00EC1427" w:rsidP="00EC1427">
      <w:pPr>
        <w:jc w:val="both"/>
        <w:rPr>
          <w:rFonts w:ascii="Bookman Old Style" w:hAnsi="Bookman Old Style"/>
          <w:color w:val="000000" w:themeColor="text1"/>
        </w:rPr>
      </w:pPr>
    </w:p>
    <w:p w14:paraId="481FAF0A" w14:textId="77777777" w:rsidR="00EC1427" w:rsidRPr="000A5C01" w:rsidRDefault="00EC1427" w:rsidP="00EC1427">
      <w:pPr>
        <w:jc w:val="both"/>
        <w:rPr>
          <w:rFonts w:ascii="Bookman Old Style" w:hAnsi="Bookman Old Style"/>
          <w:color w:val="000000" w:themeColor="text1"/>
        </w:rPr>
      </w:pPr>
      <w:r w:rsidRPr="000A5C01">
        <w:rPr>
          <w:rFonts w:ascii="Bookman Old Style" w:hAnsi="Bookman Old Style"/>
          <w:color w:val="000000" w:themeColor="text1"/>
        </w:rPr>
        <w:t>The government stated that:</w:t>
      </w:r>
    </w:p>
    <w:p w14:paraId="028AE941" w14:textId="77777777" w:rsidR="00EC1427" w:rsidRPr="000A5C01" w:rsidRDefault="00EC1427" w:rsidP="00EC1427">
      <w:pPr>
        <w:jc w:val="both"/>
        <w:rPr>
          <w:rFonts w:ascii="Bookman Old Style" w:hAnsi="Bookman Old Style"/>
          <w:color w:val="000000" w:themeColor="text1"/>
        </w:rPr>
      </w:pPr>
    </w:p>
    <w:p w14:paraId="371A1D1C" w14:textId="5A5487B2" w:rsidR="006534F6" w:rsidRPr="000A5C01" w:rsidRDefault="00EC1427" w:rsidP="00EC1427">
      <w:pPr>
        <w:ind w:left="567" w:right="855"/>
        <w:jc w:val="both"/>
        <w:rPr>
          <w:rFonts w:ascii="Bookman Old Style" w:hAnsi="Bookman Old Style"/>
          <w:color w:val="000000" w:themeColor="text1"/>
        </w:rPr>
      </w:pPr>
      <w:r w:rsidRPr="000A5C01">
        <w:rPr>
          <w:rFonts w:ascii="Bookman Old Style" w:hAnsi="Bookman Old Style"/>
          <w:color w:val="000000" w:themeColor="text1"/>
        </w:rPr>
        <w:t>…</w:t>
      </w:r>
      <w:r w:rsidRPr="000A5C01">
        <w:rPr>
          <w:rFonts w:ascii="Bookman Old Style" w:hAnsi="Bookman Old Style"/>
        </w:rPr>
        <w:t xml:space="preserve"> </w:t>
      </w:r>
      <w:r w:rsidRPr="000A5C01">
        <w:rPr>
          <w:rFonts w:ascii="Bookman Old Style" w:hAnsi="Bookman Old Style"/>
          <w:color w:val="000000" w:themeColor="text1"/>
        </w:rPr>
        <w:t>for those few who are unable to be vaccinated, accommodation or alternative measures, such as testing and screening, may be determined in each situation, to protect broader public health by reducing the risk of COVID-19.</w:t>
      </w:r>
      <w:r w:rsidRPr="000A5C01">
        <w:rPr>
          <w:rStyle w:val="EndnoteReference"/>
          <w:rFonts w:ascii="Bookman Old Style" w:hAnsi="Bookman Old Style"/>
          <w:color w:val="000000" w:themeColor="text1"/>
        </w:rPr>
        <w:endnoteReference w:id="2"/>
      </w:r>
    </w:p>
    <w:p w14:paraId="2646A1E2" w14:textId="77777777" w:rsidR="006534F6" w:rsidRPr="000A5C01" w:rsidRDefault="006534F6" w:rsidP="008B6A82">
      <w:pPr>
        <w:ind w:hanging="11"/>
        <w:rPr>
          <w:rFonts w:ascii="Bookman Old Style" w:hAnsi="Bookman Old Style"/>
          <w:lang w:val="en-CA"/>
        </w:rPr>
      </w:pPr>
    </w:p>
    <w:p w14:paraId="2DF8A0DB" w14:textId="70C9E810" w:rsidR="006534F6" w:rsidRPr="000A5C01" w:rsidRDefault="00123609" w:rsidP="008B6A82">
      <w:pPr>
        <w:ind w:hanging="11"/>
        <w:rPr>
          <w:rFonts w:ascii="Bookman Old Style" w:hAnsi="Bookman Old Style"/>
          <w:lang w:val="en-CA"/>
        </w:rPr>
      </w:pPr>
      <w:r w:rsidRPr="000A5C01">
        <w:rPr>
          <w:rFonts w:ascii="Bookman Old Style" w:hAnsi="Bookman Old Style"/>
          <w:lang w:val="en-CA"/>
        </w:rPr>
        <w:t xml:space="preserve">The language here does not contemplate termination or leave of absence. It contemplates accommodation. </w:t>
      </w:r>
    </w:p>
    <w:p w14:paraId="55C38C33" w14:textId="77777777" w:rsidR="00123609" w:rsidRPr="000A5C01" w:rsidRDefault="00123609" w:rsidP="008B6A82">
      <w:pPr>
        <w:ind w:hanging="11"/>
        <w:rPr>
          <w:rFonts w:ascii="Bookman Old Style" w:hAnsi="Bookman Old Style"/>
          <w:lang w:val="en-CA"/>
        </w:rPr>
      </w:pPr>
    </w:p>
    <w:p w14:paraId="32FD62CD" w14:textId="376D94E5" w:rsidR="006534F6" w:rsidRPr="000A5C01" w:rsidRDefault="006534F6" w:rsidP="008B6A82">
      <w:pPr>
        <w:pStyle w:val="ListParagraph"/>
        <w:numPr>
          <w:ilvl w:val="0"/>
          <w:numId w:val="1"/>
        </w:numPr>
        <w:ind w:left="0" w:hanging="11"/>
        <w:jc w:val="both"/>
        <w:rPr>
          <w:rFonts w:ascii="Bookman Old Style" w:hAnsi="Bookman Old Style"/>
          <w:b/>
          <w:bCs/>
          <w:color w:val="000000" w:themeColor="text1"/>
        </w:rPr>
      </w:pPr>
      <w:r w:rsidRPr="000A5C01">
        <w:rPr>
          <w:rFonts w:ascii="Bookman Old Style" w:hAnsi="Bookman Old Style"/>
          <w:b/>
          <w:bCs/>
          <w:color w:val="000000" w:themeColor="text1"/>
        </w:rPr>
        <w:t>Human Rights Legislation</w:t>
      </w:r>
    </w:p>
    <w:p w14:paraId="01F5E465" w14:textId="77777777" w:rsidR="008B6A82" w:rsidRPr="000A5C01" w:rsidRDefault="008B6A82" w:rsidP="008B6A82">
      <w:pPr>
        <w:pStyle w:val="ListParagraph"/>
        <w:ind w:left="0"/>
        <w:jc w:val="both"/>
        <w:rPr>
          <w:rFonts w:ascii="Bookman Old Style" w:hAnsi="Bookman Old Style"/>
          <w:color w:val="000000" w:themeColor="text1"/>
        </w:rPr>
      </w:pPr>
    </w:p>
    <w:p w14:paraId="3DC424F8" w14:textId="1B2DD01F" w:rsidR="006534F6" w:rsidRPr="000A5C01" w:rsidRDefault="006534F6" w:rsidP="008B6A82">
      <w:pPr>
        <w:ind w:hanging="11"/>
        <w:jc w:val="both"/>
        <w:rPr>
          <w:rFonts w:ascii="Bookman Old Style" w:hAnsi="Bookman Old Style"/>
          <w:color w:val="000000" w:themeColor="text1"/>
        </w:rPr>
      </w:pPr>
      <w:r w:rsidRPr="000A5C01">
        <w:rPr>
          <w:rFonts w:ascii="Bookman Old Style" w:hAnsi="Bookman Old Style"/>
          <w:color w:val="000000" w:themeColor="text1"/>
        </w:rPr>
        <w:t xml:space="preserve">The </w:t>
      </w:r>
      <w:r w:rsidRPr="000A5C01">
        <w:rPr>
          <w:rFonts w:ascii="Bookman Old Style" w:hAnsi="Bookman Old Style"/>
          <w:i/>
          <w:iCs/>
          <w:color w:val="000000" w:themeColor="text1"/>
        </w:rPr>
        <w:t xml:space="preserve">(put in the name of your </w:t>
      </w:r>
      <w:r w:rsidR="008B4F78" w:rsidRPr="000A5C01">
        <w:rPr>
          <w:rFonts w:ascii="Bookman Old Style" w:hAnsi="Bookman Old Style"/>
          <w:i/>
          <w:iCs/>
          <w:color w:val="000000" w:themeColor="text1"/>
        </w:rPr>
        <w:t xml:space="preserve">provincial </w:t>
      </w:r>
      <w:r w:rsidRPr="000A5C01">
        <w:rPr>
          <w:rFonts w:ascii="Bookman Old Style" w:hAnsi="Bookman Old Style"/>
          <w:i/>
          <w:iCs/>
          <w:color w:val="000000" w:themeColor="text1"/>
        </w:rPr>
        <w:t>human rights act here)</w:t>
      </w:r>
      <w:r w:rsidRPr="000A5C01">
        <w:rPr>
          <w:rFonts w:ascii="Bookman Old Style" w:hAnsi="Bookman Old Style"/>
          <w:color w:val="000000" w:themeColor="text1"/>
        </w:rPr>
        <w:t xml:space="preserve"> protects the ground of religious belief, which includes a system of belief and does not require an objector to belong to a church to be considered for exemption. A </w:t>
      </w:r>
      <w:r w:rsidRPr="000A5C01">
        <w:rPr>
          <w:rFonts w:ascii="Bookman Old Style" w:hAnsi="Bookman Old Style"/>
          <w:i/>
          <w:iCs/>
          <w:color w:val="000000" w:themeColor="text1"/>
        </w:rPr>
        <w:t xml:space="preserve">bona fide </w:t>
      </w:r>
      <w:r w:rsidR="00B9293B" w:rsidRPr="000A5C01">
        <w:rPr>
          <w:rFonts w:ascii="Bookman Old Style" w:hAnsi="Bookman Old Style"/>
          <w:color w:val="000000" w:themeColor="text1"/>
        </w:rPr>
        <w:t xml:space="preserve">(occupational) </w:t>
      </w:r>
      <w:r w:rsidRPr="000A5C01">
        <w:rPr>
          <w:rFonts w:ascii="Bookman Old Style" w:hAnsi="Bookman Old Style"/>
          <w:color w:val="000000" w:themeColor="text1"/>
        </w:rPr>
        <w:t xml:space="preserve">requirement is necessary </w:t>
      </w:r>
      <w:proofErr w:type="gramStart"/>
      <w:r w:rsidRPr="000A5C01">
        <w:rPr>
          <w:rFonts w:ascii="Bookman Old Style" w:hAnsi="Bookman Old Style"/>
          <w:color w:val="000000" w:themeColor="text1"/>
        </w:rPr>
        <w:t>in order to</w:t>
      </w:r>
      <w:proofErr w:type="gramEnd"/>
      <w:r w:rsidRPr="000A5C01">
        <w:rPr>
          <w:rFonts w:ascii="Bookman Old Style" w:hAnsi="Bookman Old Style"/>
          <w:color w:val="000000" w:themeColor="text1"/>
        </w:rPr>
        <w:t xml:space="preserve"> infringe on my objections based on religious belief.  That means that the policies of (</w:t>
      </w:r>
      <w:r w:rsidRPr="000A5C01">
        <w:rPr>
          <w:rFonts w:ascii="Bookman Old Style" w:hAnsi="Bookman Old Style"/>
          <w:i/>
          <w:iCs/>
          <w:color w:val="000000" w:themeColor="text1"/>
        </w:rPr>
        <w:t>put in the name of your employer here)</w:t>
      </w:r>
      <w:r w:rsidRPr="000A5C01">
        <w:rPr>
          <w:rFonts w:ascii="Bookman Old Style" w:hAnsi="Bookman Old Style"/>
          <w:color w:val="000000" w:themeColor="text1"/>
        </w:rPr>
        <w:t xml:space="preserve"> must be rationally connected to a reasonable basis.</w:t>
      </w:r>
    </w:p>
    <w:p w14:paraId="28CB1769" w14:textId="77777777" w:rsidR="006534F6" w:rsidRPr="000A5C01" w:rsidRDefault="006534F6" w:rsidP="008B6A82">
      <w:pPr>
        <w:ind w:hanging="11"/>
        <w:jc w:val="both"/>
        <w:rPr>
          <w:rFonts w:ascii="Bookman Old Style" w:hAnsi="Bookman Old Style"/>
          <w:color w:val="000000" w:themeColor="text1"/>
        </w:rPr>
      </w:pPr>
    </w:p>
    <w:p w14:paraId="124DDE68" w14:textId="77777777" w:rsidR="006534F6" w:rsidRPr="000A5C01" w:rsidRDefault="006534F6" w:rsidP="008B6A82">
      <w:pPr>
        <w:ind w:hanging="11"/>
        <w:jc w:val="both"/>
        <w:rPr>
          <w:rFonts w:ascii="Bookman Old Style" w:hAnsi="Bookman Old Style"/>
          <w:color w:val="000000" w:themeColor="text1"/>
        </w:rPr>
      </w:pPr>
      <w:r w:rsidRPr="000A5C01">
        <w:rPr>
          <w:rFonts w:ascii="Bookman Old Style" w:hAnsi="Bookman Old Style"/>
          <w:color w:val="000000" w:themeColor="text1"/>
        </w:rPr>
        <w:t xml:space="preserve">The Supreme Court of Canada case, </w:t>
      </w:r>
      <w:proofErr w:type="spellStart"/>
      <w:r w:rsidRPr="000A5C01">
        <w:rPr>
          <w:rFonts w:ascii="Bookman Old Style" w:hAnsi="Bookman Old Style"/>
          <w:i/>
          <w:iCs/>
          <w:color w:val="000000" w:themeColor="text1"/>
        </w:rPr>
        <w:t>Syndicat</w:t>
      </w:r>
      <w:proofErr w:type="spellEnd"/>
      <w:r w:rsidRPr="000A5C01">
        <w:rPr>
          <w:rFonts w:ascii="Bookman Old Style" w:hAnsi="Bookman Old Style"/>
          <w:i/>
          <w:iCs/>
          <w:color w:val="000000" w:themeColor="text1"/>
        </w:rPr>
        <w:t xml:space="preserve"> </w:t>
      </w:r>
      <w:proofErr w:type="spellStart"/>
      <w:r w:rsidRPr="000A5C01">
        <w:rPr>
          <w:rFonts w:ascii="Bookman Old Style" w:hAnsi="Bookman Old Style"/>
          <w:i/>
          <w:iCs/>
          <w:color w:val="000000" w:themeColor="text1"/>
        </w:rPr>
        <w:t>Northcrest</w:t>
      </w:r>
      <w:proofErr w:type="spellEnd"/>
      <w:r w:rsidRPr="000A5C01">
        <w:rPr>
          <w:rFonts w:ascii="Bookman Old Style" w:hAnsi="Bookman Old Style"/>
          <w:color w:val="000000" w:themeColor="text1"/>
        </w:rPr>
        <w:t xml:space="preserve"> v </w:t>
      </w:r>
      <w:proofErr w:type="spellStart"/>
      <w:r w:rsidRPr="000A5C01">
        <w:rPr>
          <w:rFonts w:ascii="Bookman Old Style" w:hAnsi="Bookman Old Style"/>
          <w:i/>
          <w:iCs/>
          <w:color w:val="000000" w:themeColor="text1"/>
        </w:rPr>
        <w:t>Amselem</w:t>
      </w:r>
      <w:proofErr w:type="spellEnd"/>
      <w:r w:rsidRPr="000A5C01">
        <w:rPr>
          <w:rFonts w:ascii="Bookman Old Style" w:hAnsi="Bookman Old Style"/>
          <w:color w:val="000000" w:themeColor="text1"/>
        </w:rPr>
        <w:t xml:space="preserve"> [2004] 2 S.C.R. 551</w:t>
      </w:r>
      <w:r w:rsidRPr="000A5C01">
        <w:rPr>
          <w:rStyle w:val="EndnoteReference"/>
          <w:rFonts w:ascii="Bookman Old Style" w:hAnsi="Bookman Old Style"/>
          <w:color w:val="000000" w:themeColor="text1"/>
        </w:rPr>
        <w:endnoteReference w:id="3"/>
      </w:r>
      <w:r w:rsidRPr="000A5C01">
        <w:rPr>
          <w:rFonts w:ascii="Bookman Old Style" w:hAnsi="Bookman Old Style"/>
          <w:color w:val="000000" w:themeColor="text1"/>
        </w:rPr>
        <w:t xml:space="preserve"> (“</w:t>
      </w:r>
      <w:r w:rsidRPr="000A5C01">
        <w:rPr>
          <w:rFonts w:ascii="Bookman Old Style" w:hAnsi="Bookman Old Style"/>
          <w:b/>
          <w:bCs/>
          <w:color w:val="000000" w:themeColor="text1"/>
        </w:rPr>
        <w:t>Amsalem</w:t>
      </w:r>
      <w:r w:rsidRPr="000A5C01">
        <w:rPr>
          <w:rFonts w:ascii="Bookman Old Style" w:hAnsi="Bookman Old Style"/>
          <w:color w:val="000000" w:themeColor="text1"/>
        </w:rPr>
        <w:t xml:space="preserve">”) advocated freedom of religion under section 2 of the </w:t>
      </w:r>
      <w:r w:rsidRPr="000A5C01">
        <w:rPr>
          <w:rFonts w:ascii="Bookman Old Style" w:hAnsi="Bookman Old Style"/>
          <w:i/>
          <w:iCs/>
          <w:color w:val="000000" w:themeColor="text1"/>
        </w:rPr>
        <w:t>Canadian Charter of Rights and Freedoms</w:t>
      </w:r>
      <w:r w:rsidRPr="000A5C01">
        <w:rPr>
          <w:rFonts w:ascii="Bookman Old Style" w:hAnsi="Bookman Old Style"/>
          <w:color w:val="000000" w:themeColor="text1"/>
        </w:rPr>
        <w:t xml:space="preserve"> as tolerating a practice where the individual sincerely feels it is connected to religion, regardless of whether the practice is required by a religious authority. </w:t>
      </w:r>
    </w:p>
    <w:p w14:paraId="4850FAE4" w14:textId="49E66229" w:rsidR="006534F6" w:rsidRPr="000A5C01" w:rsidRDefault="006534F6" w:rsidP="008B6A82">
      <w:pPr>
        <w:ind w:hanging="11"/>
        <w:rPr>
          <w:rFonts w:ascii="Bookman Old Style" w:hAnsi="Bookman Old Style"/>
          <w:lang w:val="en-CA"/>
        </w:rPr>
      </w:pPr>
    </w:p>
    <w:p w14:paraId="26508C5F" w14:textId="17FD1EEE" w:rsidR="00123609" w:rsidRPr="000A5C01" w:rsidRDefault="004C6906" w:rsidP="008B6A82">
      <w:pPr>
        <w:ind w:hanging="11"/>
        <w:rPr>
          <w:rFonts w:ascii="Bookman Old Style" w:hAnsi="Bookman Old Style"/>
          <w:sz w:val="20"/>
          <w:szCs w:val="20"/>
          <w:lang w:val="en-CA"/>
        </w:rPr>
      </w:pPr>
      <w:r w:rsidRPr="000A5C01">
        <w:rPr>
          <w:rFonts w:ascii="Bookman Old Style" w:hAnsi="Bookman Old Style"/>
          <w:lang w:val="en-CA"/>
        </w:rPr>
        <w:lastRenderedPageBreak/>
        <w:t>These paragraphs from the Ontario Human Rights Commission may be of assistance to you as you consider your request for an exemption (even if you are not in Ontario):</w:t>
      </w:r>
    </w:p>
    <w:p w14:paraId="61EC1F4F" w14:textId="77777777" w:rsidR="004C6906" w:rsidRPr="000A5C01" w:rsidRDefault="004C6906" w:rsidP="004C6906">
      <w:pPr>
        <w:pStyle w:val="Heading4"/>
        <w:rPr>
          <w:rFonts w:ascii="Bookman Old Style" w:hAnsi="Bookman Old Style"/>
          <w:sz w:val="20"/>
          <w:szCs w:val="20"/>
        </w:rPr>
      </w:pPr>
      <w:r w:rsidRPr="000A5C01">
        <w:rPr>
          <w:rFonts w:ascii="Bookman Old Style" w:hAnsi="Bookman Old Style"/>
          <w:sz w:val="20"/>
          <w:szCs w:val="20"/>
        </w:rPr>
        <w:t>4.  Can my employer or any service or housing provider require proof that I’ve received a COVID-19 vaccine?</w:t>
      </w:r>
    </w:p>
    <w:p w14:paraId="3A7A0320" w14:textId="77777777" w:rsidR="004C6906" w:rsidRPr="000A5C01" w:rsidRDefault="004C6906" w:rsidP="004C6906">
      <w:pPr>
        <w:numPr>
          <w:ilvl w:val="0"/>
          <w:numId w:val="2"/>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Receiving a COVID-19 vaccine is voluntary.</w:t>
      </w:r>
    </w:p>
    <w:p w14:paraId="75D6ABE7" w14:textId="77777777" w:rsidR="004C6906" w:rsidRPr="000A5C01" w:rsidRDefault="004C6906" w:rsidP="004C6906">
      <w:pPr>
        <w:numPr>
          <w:ilvl w:val="0"/>
          <w:numId w:val="2"/>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At the same time, governments across Canada are examining and beginning to set conditions where proof of vaccination may be required to take part in some activities.</w:t>
      </w:r>
    </w:p>
    <w:p w14:paraId="478DAF7C" w14:textId="77777777" w:rsidR="004C6906" w:rsidRPr="000A5C01" w:rsidRDefault="004C6906" w:rsidP="004C6906">
      <w:pPr>
        <w:numPr>
          <w:ilvl w:val="0"/>
          <w:numId w:val="2"/>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Requiring proof of vaccination to ensure fitness to safely perform work, or protect people receiving services or living in congregate housing, may be permissible under the </w:t>
      </w:r>
      <w:r w:rsidRPr="000A5C01">
        <w:rPr>
          <w:rStyle w:val="Emphasis"/>
          <w:rFonts w:ascii="Bookman Old Style" w:hAnsi="Bookman Old Style"/>
          <w:sz w:val="20"/>
          <w:szCs w:val="20"/>
        </w:rPr>
        <w:t>Code </w:t>
      </w:r>
      <w:r w:rsidRPr="000A5C01">
        <w:rPr>
          <w:rFonts w:ascii="Bookman Old Style" w:hAnsi="Bookman Old Style"/>
          <w:sz w:val="20"/>
          <w:szCs w:val="20"/>
        </w:rPr>
        <w:t>if the requirement is made in good faith and is reasonably necessary for reasons related to health and safety.</w:t>
      </w:r>
    </w:p>
    <w:p w14:paraId="2191F78C" w14:textId="77777777" w:rsidR="004C6906" w:rsidRPr="000A5C01" w:rsidRDefault="004C6906" w:rsidP="004C6906">
      <w:pPr>
        <w:numPr>
          <w:ilvl w:val="0"/>
          <w:numId w:val="2"/>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The </w:t>
      </w:r>
      <w:r w:rsidRPr="000A5C01">
        <w:rPr>
          <w:rStyle w:val="Emphasis"/>
          <w:rFonts w:ascii="Bookman Old Style" w:hAnsi="Bookman Old Style"/>
          <w:sz w:val="20"/>
          <w:szCs w:val="20"/>
        </w:rPr>
        <w:t>Code</w:t>
      </w:r>
      <w:r w:rsidRPr="000A5C01">
        <w:rPr>
          <w:rFonts w:ascii="Bookman Old Style" w:hAnsi="Bookman Old Style"/>
          <w:sz w:val="20"/>
          <w:szCs w:val="20"/>
        </w:rPr>
        <w:t> grounds of disability and/or creed may be engaged when employers, housing or other service providers impose medical testing or treatment requirements, including proof of vaccination.</w:t>
      </w:r>
    </w:p>
    <w:p w14:paraId="77D284FB" w14:textId="77777777" w:rsidR="004C6906" w:rsidRPr="000A5C01" w:rsidRDefault="004C6906" w:rsidP="004C6906">
      <w:pPr>
        <w:numPr>
          <w:ilvl w:val="0"/>
          <w:numId w:val="2"/>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Under the </w:t>
      </w:r>
      <w:r w:rsidRPr="000A5C01">
        <w:rPr>
          <w:rStyle w:val="Emphasis"/>
          <w:rFonts w:ascii="Bookman Old Style" w:hAnsi="Bookman Old Style"/>
          <w:sz w:val="20"/>
          <w:szCs w:val="20"/>
        </w:rPr>
        <w:t>Code</w:t>
      </w:r>
      <w:r w:rsidRPr="000A5C01">
        <w:rPr>
          <w:rFonts w:ascii="Bookman Old Style" w:hAnsi="Bookman Old Style"/>
          <w:sz w:val="20"/>
          <w:szCs w:val="20"/>
        </w:rPr>
        <w:t>, organizations have a duty to accommodate people who may be unable to receive a COVID-19 vaccine, for reasons related to disability or creed, unless it would amount to undue hardship based on cost or health and safety.</w:t>
      </w:r>
    </w:p>
    <w:p w14:paraId="62448A31" w14:textId="77777777" w:rsidR="004C6906" w:rsidRPr="000A5C01" w:rsidRDefault="004C6906" w:rsidP="004C6906">
      <w:pPr>
        <w:numPr>
          <w:ilvl w:val="0"/>
          <w:numId w:val="2"/>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The right to be free from discrimination can be limited under the </w:t>
      </w:r>
      <w:r w:rsidRPr="000A5C01">
        <w:rPr>
          <w:rStyle w:val="Emphasis"/>
          <w:rFonts w:ascii="Bookman Old Style" w:hAnsi="Bookman Old Style"/>
          <w:sz w:val="20"/>
          <w:szCs w:val="20"/>
        </w:rPr>
        <w:t>Code</w:t>
      </w:r>
      <w:r w:rsidRPr="000A5C01">
        <w:rPr>
          <w:rFonts w:ascii="Bookman Old Style" w:hAnsi="Bookman Old Style"/>
          <w:sz w:val="20"/>
          <w:szCs w:val="20"/>
        </w:rPr>
        <w:t>, where, for example, broader health and safety risks are serious, like in a pandemic, and would amount to undue hardship. The OHRC and relevant human rights laws like the </w:t>
      </w:r>
      <w:r w:rsidRPr="000A5C01">
        <w:rPr>
          <w:rStyle w:val="Emphasis"/>
          <w:rFonts w:ascii="Bookman Old Style" w:hAnsi="Bookman Old Style"/>
          <w:sz w:val="20"/>
          <w:szCs w:val="20"/>
        </w:rPr>
        <w:t>Code</w:t>
      </w:r>
      <w:r w:rsidRPr="000A5C01">
        <w:rPr>
          <w:rFonts w:ascii="Bookman Old Style" w:hAnsi="Bookman Old Style"/>
          <w:sz w:val="20"/>
          <w:szCs w:val="20"/>
        </w:rPr>
        <w:t> recognize the importance of balancing people’s right to non-discrimination and civil liberties with public health and safety, including the need to address evidence-based risks and treatment associated with COVID-19.</w:t>
      </w:r>
    </w:p>
    <w:p w14:paraId="7A766120" w14:textId="77777777" w:rsidR="004C6906" w:rsidRPr="000A5C01" w:rsidRDefault="004C6906" w:rsidP="004C6906">
      <w:pPr>
        <w:numPr>
          <w:ilvl w:val="0"/>
          <w:numId w:val="2"/>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 xml:space="preserve">Everyone involved should be flexible in exploring whether accommodation is possible, including alternative ways a person might continue to safely work, receive a service or </w:t>
      </w:r>
      <w:proofErr w:type="gramStart"/>
      <w:r w:rsidRPr="000A5C01">
        <w:rPr>
          <w:rFonts w:ascii="Bookman Old Style" w:hAnsi="Bookman Old Style"/>
          <w:sz w:val="20"/>
          <w:szCs w:val="20"/>
        </w:rPr>
        <w:t>live in</w:t>
      </w:r>
      <w:proofErr w:type="gramEnd"/>
      <w:r w:rsidRPr="000A5C01">
        <w:rPr>
          <w:rFonts w:ascii="Bookman Old Style" w:hAnsi="Bookman Old Style"/>
          <w:sz w:val="20"/>
          <w:szCs w:val="20"/>
        </w:rPr>
        <w:t xml:space="preserve"> congregate housing without being vaccinated.</w:t>
      </w:r>
    </w:p>
    <w:p w14:paraId="2A78F4F9" w14:textId="77777777" w:rsidR="004C6906" w:rsidRPr="000A5C01" w:rsidRDefault="004C6906" w:rsidP="004C6906">
      <w:pPr>
        <w:numPr>
          <w:ilvl w:val="0"/>
          <w:numId w:val="2"/>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Organizations should make clear the reasons why proof of vaccination is needed in the circumstances.</w:t>
      </w:r>
    </w:p>
    <w:p w14:paraId="7D5AC11B" w14:textId="77777777" w:rsidR="004C6906" w:rsidRPr="000A5C01" w:rsidRDefault="004C6906" w:rsidP="004C6906">
      <w:pPr>
        <w:numPr>
          <w:ilvl w:val="0"/>
          <w:numId w:val="2"/>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 xml:space="preserve">Organizations should only request and share medical information, including proof of vaccination, in a way that intrudes as little as possible on a person’s privacy, and does not go beyond what is necessary to ensure </w:t>
      </w:r>
      <w:r w:rsidRPr="000A5C01">
        <w:rPr>
          <w:rStyle w:val="Emphasis"/>
          <w:rFonts w:ascii="Bookman Old Style" w:hAnsi="Bookman Old Style"/>
          <w:sz w:val="20"/>
          <w:szCs w:val="20"/>
        </w:rPr>
        <w:t>bona fide</w:t>
      </w:r>
      <w:r w:rsidRPr="000A5C01">
        <w:rPr>
          <w:rFonts w:ascii="Bookman Old Style" w:hAnsi="Bookman Old Style"/>
          <w:sz w:val="20"/>
          <w:szCs w:val="20"/>
        </w:rPr>
        <w:t xml:space="preserve"> fitness to safely perform work, or protect people receiving services or living in congregate housing, and accommodate any individual needs.</w:t>
      </w:r>
    </w:p>
    <w:p w14:paraId="1DAF220C" w14:textId="77777777" w:rsidR="004C6906" w:rsidRPr="000A5C01" w:rsidRDefault="004C6906" w:rsidP="004C6906">
      <w:pPr>
        <w:numPr>
          <w:ilvl w:val="0"/>
          <w:numId w:val="2"/>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No one should experience harassment or other discriminatory treatment based on a </w:t>
      </w:r>
      <w:r w:rsidRPr="000A5C01">
        <w:rPr>
          <w:rStyle w:val="Emphasis"/>
          <w:rFonts w:ascii="Bookman Old Style" w:hAnsi="Bookman Old Style"/>
          <w:sz w:val="20"/>
          <w:szCs w:val="20"/>
        </w:rPr>
        <w:t>Code</w:t>
      </w:r>
      <w:r w:rsidRPr="000A5C01">
        <w:rPr>
          <w:rFonts w:ascii="Bookman Old Style" w:hAnsi="Bookman Old Style"/>
          <w:sz w:val="20"/>
          <w:szCs w:val="20"/>
        </w:rPr>
        <w:t> ground because they are unable to receive a vaccine. </w:t>
      </w:r>
    </w:p>
    <w:p w14:paraId="0E513F24" w14:textId="130862BE" w:rsidR="004C6906" w:rsidRPr="000A5C01" w:rsidRDefault="004C6906" w:rsidP="004C6906">
      <w:pPr>
        <w:numPr>
          <w:ilvl w:val="0"/>
          <w:numId w:val="2"/>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Also, workers have rights and employers have obligations for workers’ health and safety under the </w:t>
      </w:r>
      <w:r w:rsidRPr="000A5C01">
        <w:rPr>
          <w:rStyle w:val="Emphasis"/>
          <w:rFonts w:ascii="Bookman Old Style" w:hAnsi="Bookman Old Style"/>
          <w:sz w:val="20"/>
          <w:szCs w:val="20"/>
        </w:rPr>
        <w:t>Occupational Health and Safety Act</w:t>
      </w:r>
      <w:r w:rsidRPr="000A5C01">
        <w:rPr>
          <w:rFonts w:ascii="Bookman Old Style" w:hAnsi="Bookman Old Style"/>
          <w:sz w:val="20"/>
          <w:szCs w:val="20"/>
        </w:rPr>
        <w:t xml:space="preserve">. Visit the Ontario Ministry of </w:t>
      </w:r>
      <w:proofErr w:type="spellStart"/>
      <w:r w:rsidRPr="000A5C01">
        <w:rPr>
          <w:rFonts w:ascii="Bookman Old Style" w:hAnsi="Bookman Old Style"/>
          <w:sz w:val="20"/>
          <w:szCs w:val="20"/>
        </w:rPr>
        <w:t>Labour</w:t>
      </w:r>
      <w:proofErr w:type="spellEnd"/>
      <w:r w:rsidRPr="000A5C01">
        <w:rPr>
          <w:rFonts w:ascii="Bookman Old Style" w:hAnsi="Bookman Old Style"/>
          <w:sz w:val="20"/>
          <w:szCs w:val="20"/>
        </w:rPr>
        <w:t>, Training and Skills Development </w:t>
      </w:r>
      <w:hyperlink r:id="rId8" w:tgtFrame="_blank" w:history="1">
        <w:r w:rsidRPr="000A5C01">
          <w:rPr>
            <w:rStyle w:val="Hyperlink"/>
            <w:rFonts w:ascii="Bookman Old Style" w:hAnsi="Bookman Old Style"/>
            <w:b/>
            <w:bCs/>
            <w:sz w:val="20"/>
            <w:szCs w:val="20"/>
          </w:rPr>
          <w:t>website</w:t>
        </w:r>
      </w:hyperlink>
      <w:r w:rsidRPr="000A5C01">
        <w:rPr>
          <w:rFonts w:ascii="Bookman Old Style" w:hAnsi="Bookman Old Style"/>
          <w:sz w:val="20"/>
          <w:szCs w:val="20"/>
        </w:rPr>
        <w:t> for more information, including how to contact the Ministry.</w:t>
      </w:r>
    </w:p>
    <w:p w14:paraId="5DF01195" w14:textId="77777777" w:rsidR="004C6906" w:rsidRPr="000A5C01" w:rsidRDefault="004C6906" w:rsidP="004C6906">
      <w:pPr>
        <w:pStyle w:val="Heading4"/>
        <w:rPr>
          <w:rFonts w:ascii="Bookman Old Style" w:hAnsi="Bookman Old Style"/>
          <w:sz w:val="20"/>
          <w:szCs w:val="20"/>
        </w:rPr>
      </w:pPr>
      <w:r w:rsidRPr="000A5C01">
        <w:rPr>
          <w:rFonts w:ascii="Bookman Old Style" w:hAnsi="Bookman Old Style"/>
          <w:sz w:val="20"/>
          <w:szCs w:val="20"/>
        </w:rPr>
        <w:t xml:space="preserve">5. I do not believe in vaccinations (or masks and lockdowns). Does the </w:t>
      </w:r>
      <w:r w:rsidRPr="000A5C01">
        <w:rPr>
          <w:rStyle w:val="Emphasis"/>
          <w:rFonts w:ascii="Bookman Old Style" w:hAnsi="Bookman Old Style"/>
          <w:sz w:val="20"/>
          <w:szCs w:val="20"/>
        </w:rPr>
        <w:t>Human Rights Code</w:t>
      </w:r>
      <w:r w:rsidRPr="000A5C01">
        <w:rPr>
          <w:rFonts w:ascii="Bookman Old Style" w:hAnsi="Bookman Old Style"/>
          <w:sz w:val="20"/>
          <w:szCs w:val="20"/>
        </w:rPr>
        <w:t xml:space="preserve"> exempt me based on creed from COVID-19 requirements like providing proof of vaccination set by my employer or a service provider?</w:t>
      </w:r>
    </w:p>
    <w:p w14:paraId="5DDF623C" w14:textId="77777777" w:rsidR="004C6906" w:rsidRPr="000A5C01" w:rsidRDefault="004C6906" w:rsidP="004C6906">
      <w:pPr>
        <w:numPr>
          <w:ilvl w:val="0"/>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Not all beliefs amount to a creed under the </w:t>
      </w:r>
      <w:r w:rsidRPr="000A5C01">
        <w:rPr>
          <w:rStyle w:val="Emphasis"/>
          <w:rFonts w:ascii="Bookman Old Style" w:hAnsi="Bookman Old Style"/>
          <w:sz w:val="20"/>
          <w:szCs w:val="20"/>
        </w:rPr>
        <w:t>Code</w:t>
      </w:r>
      <w:r w:rsidRPr="000A5C01">
        <w:rPr>
          <w:rFonts w:ascii="Bookman Old Style" w:hAnsi="Bookman Old Style"/>
          <w:sz w:val="20"/>
          <w:szCs w:val="20"/>
        </w:rPr>
        <w:t>.</w:t>
      </w:r>
    </w:p>
    <w:p w14:paraId="5DC88138" w14:textId="77777777" w:rsidR="004C6906" w:rsidRPr="000A5C01" w:rsidRDefault="004C6906" w:rsidP="004C6906">
      <w:pPr>
        <w:numPr>
          <w:ilvl w:val="0"/>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The </w:t>
      </w:r>
      <w:r w:rsidRPr="000A5C01">
        <w:rPr>
          <w:rStyle w:val="Emphasis"/>
          <w:rFonts w:ascii="Bookman Old Style" w:hAnsi="Bookman Old Style"/>
          <w:sz w:val="20"/>
          <w:szCs w:val="20"/>
        </w:rPr>
        <w:t>Code</w:t>
      </w:r>
      <w:r w:rsidRPr="000A5C01">
        <w:rPr>
          <w:rFonts w:ascii="Bookman Old Style" w:hAnsi="Bookman Old Style"/>
          <w:sz w:val="20"/>
          <w:szCs w:val="20"/>
        </w:rPr>
        <w:t> does not define creed. The OHRC’s </w:t>
      </w:r>
      <w:hyperlink r:id="rId9" w:history="1">
        <w:r w:rsidRPr="000A5C01">
          <w:rPr>
            <w:rStyle w:val="Hyperlink"/>
            <w:rFonts w:ascii="Bookman Old Style" w:hAnsi="Bookman Old Style"/>
            <w:b/>
            <w:bCs/>
            <w:i/>
            <w:iCs/>
            <w:sz w:val="20"/>
            <w:szCs w:val="20"/>
          </w:rPr>
          <w:t>Policy on preventing discrimination based on creed</w:t>
        </w:r>
      </w:hyperlink>
      <w:r w:rsidRPr="000A5C01">
        <w:rPr>
          <w:rStyle w:val="Emphasis"/>
          <w:rFonts w:ascii="Bookman Old Style" w:hAnsi="Bookman Old Style"/>
          <w:b/>
          <w:bCs/>
          <w:sz w:val="20"/>
          <w:szCs w:val="20"/>
        </w:rPr>
        <w:t> </w:t>
      </w:r>
      <w:r w:rsidRPr="000A5C01">
        <w:rPr>
          <w:rFonts w:ascii="Bookman Old Style" w:hAnsi="Bookman Old Style"/>
          <w:sz w:val="20"/>
          <w:szCs w:val="20"/>
        </w:rPr>
        <w:t>sets out guiding factors, based on case law, to help organizations, and ultimately tribunals and courts, make these determinations. This includes considering whether the belief is:</w:t>
      </w:r>
    </w:p>
    <w:p w14:paraId="701230FC" w14:textId="77777777" w:rsidR="004C6906" w:rsidRPr="000A5C01" w:rsidRDefault="004C6906" w:rsidP="004C6906">
      <w:pPr>
        <w:numPr>
          <w:ilvl w:val="1"/>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 xml:space="preserve">Sincerely, </w:t>
      </w:r>
      <w:proofErr w:type="gramStart"/>
      <w:r w:rsidRPr="000A5C01">
        <w:rPr>
          <w:rFonts w:ascii="Bookman Old Style" w:hAnsi="Bookman Old Style"/>
          <w:sz w:val="20"/>
          <w:szCs w:val="20"/>
        </w:rPr>
        <w:t>freely</w:t>
      </w:r>
      <w:proofErr w:type="gramEnd"/>
      <w:r w:rsidRPr="000A5C01">
        <w:rPr>
          <w:rFonts w:ascii="Bookman Old Style" w:hAnsi="Bookman Old Style"/>
          <w:sz w:val="20"/>
          <w:szCs w:val="20"/>
        </w:rPr>
        <w:t xml:space="preserve"> and deeply held</w:t>
      </w:r>
    </w:p>
    <w:p w14:paraId="04EE261E" w14:textId="77777777" w:rsidR="004C6906" w:rsidRPr="000A5C01" w:rsidRDefault="004C6906" w:rsidP="004C6906">
      <w:pPr>
        <w:numPr>
          <w:ilvl w:val="1"/>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lastRenderedPageBreak/>
        <w:t xml:space="preserve">Integrally linked to a person’s identity, </w:t>
      </w:r>
      <w:proofErr w:type="gramStart"/>
      <w:r w:rsidRPr="000A5C01">
        <w:rPr>
          <w:rFonts w:ascii="Bookman Old Style" w:hAnsi="Bookman Old Style"/>
          <w:sz w:val="20"/>
          <w:szCs w:val="20"/>
        </w:rPr>
        <w:t>self-definition</w:t>
      </w:r>
      <w:proofErr w:type="gramEnd"/>
      <w:r w:rsidRPr="000A5C01">
        <w:rPr>
          <w:rFonts w:ascii="Bookman Old Style" w:hAnsi="Bookman Old Style"/>
          <w:sz w:val="20"/>
          <w:szCs w:val="20"/>
        </w:rPr>
        <w:t xml:space="preserve"> and fulfilment</w:t>
      </w:r>
    </w:p>
    <w:p w14:paraId="3F38F609" w14:textId="77777777" w:rsidR="004C6906" w:rsidRPr="000A5C01" w:rsidRDefault="004C6906" w:rsidP="004C6906">
      <w:pPr>
        <w:numPr>
          <w:ilvl w:val="1"/>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Part of a particular and comprehensive, overarching system of belief that governs one’s conduct and practices</w:t>
      </w:r>
    </w:p>
    <w:p w14:paraId="07438666" w14:textId="77777777" w:rsidR="004C6906" w:rsidRPr="000A5C01" w:rsidRDefault="004C6906" w:rsidP="004C6906">
      <w:pPr>
        <w:numPr>
          <w:ilvl w:val="1"/>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Addressing ultimate questions of human existence, including ideas about life, purpose, death, and the existence or non-existence of a Creator and/or a higher or different order of existence</w:t>
      </w:r>
    </w:p>
    <w:p w14:paraId="4487A356" w14:textId="77777777" w:rsidR="004C6906" w:rsidRPr="000A5C01" w:rsidRDefault="004C6906" w:rsidP="004C6906">
      <w:pPr>
        <w:numPr>
          <w:ilvl w:val="1"/>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Connected in some way to an organization or community that professes a shared system of belief</w:t>
      </w:r>
    </w:p>
    <w:p w14:paraId="2292017F" w14:textId="77777777" w:rsidR="004C6906" w:rsidRPr="000A5C01" w:rsidRDefault="004C6906" w:rsidP="004C6906">
      <w:pPr>
        <w:numPr>
          <w:ilvl w:val="0"/>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The OHRC’s position is that a singular belief or personal preference against vaccinations or masks does not appear to be protected on the ground of creed under the </w:t>
      </w:r>
      <w:r w:rsidRPr="000A5C01">
        <w:rPr>
          <w:rStyle w:val="Emphasis"/>
          <w:rFonts w:ascii="Bookman Old Style" w:hAnsi="Bookman Old Style"/>
          <w:sz w:val="20"/>
          <w:szCs w:val="20"/>
        </w:rPr>
        <w:t>Code</w:t>
      </w:r>
      <w:r w:rsidRPr="000A5C01">
        <w:rPr>
          <w:rFonts w:ascii="Bookman Old Style" w:hAnsi="Bookman Old Style"/>
          <w:sz w:val="20"/>
          <w:szCs w:val="20"/>
        </w:rPr>
        <w:t>.</w:t>
      </w:r>
    </w:p>
    <w:p w14:paraId="56502426" w14:textId="77777777" w:rsidR="004C6906" w:rsidRPr="000A5C01" w:rsidRDefault="004C6906" w:rsidP="004C6906">
      <w:pPr>
        <w:numPr>
          <w:ilvl w:val="0"/>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The OHRC is not aware of any tribunal or court decision that found a singular belief against vaccinations or masks amounted to a creed within the meaning of the </w:t>
      </w:r>
      <w:r w:rsidRPr="000A5C01">
        <w:rPr>
          <w:rStyle w:val="Emphasis"/>
          <w:rFonts w:ascii="Bookman Old Style" w:hAnsi="Bookman Old Style"/>
          <w:sz w:val="20"/>
          <w:szCs w:val="20"/>
        </w:rPr>
        <w:t>Code.</w:t>
      </w:r>
    </w:p>
    <w:p w14:paraId="5B87BCCA" w14:textId="77777777" w:rsidR="004C6906" w:rsidRPr="000A5C01" w:rsidRDefault="004C6906" w:rsidP="004C6906">
      <w:pPr>
        <w:numPr>
          <w:ilvl w:val="0"/>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In </w:t>
      </w:r>
      <w:proofErr w:type="spellStart"/>
      <w:r w:rsidRPr="000A5C01">
        <w:rPr>
          <w:rStyle w:val="Emphasis"/>
          <w:rFonts w:ascii="Bookman Old Style" w:hAnsi="Bookman Old Style"/>
          <w:sz w:val="20"/>
          <w:szCs w:val="20"/>
        </w:rPr>
        <w:t>Ataellahi</w:t>
      </w:r>
      <w:proofErr w:type="spellEnd"/>
      <w:r w:rsidRPr="000A5C01">
        <w:rPr>
          <w:rStyle w:val="Emphasis"/>
          <w:rFonts w:ascii="Bookman Old Style" w:hAnsi="Bookman Old Style"/>
          <w:sz w:val="20"/>
          <w:szCs w:val="20"/>
        </w:rPr>
        <w:t xml:space="preserve"> v Lambton County (EMS),</w:t>
      </w:r>
      <w:r w:rsidRPr="000A5C01">
        <w:rPr>
          <w:rFonts w:ascii="Bookman Old Style" w:hAnsi="Bookman Old Style"/>
          <w:sz w:val="20"/>
          <w:szCs w:val="20"/>
        </w:rPr>
        <w:t> 2011 HRTO 1758 (</w:t>
      </w:r>
      <w:proofErr w:type="spellStart"/>
      <w:r w:rsidRPr="000A5C01">
        <w:rPr>
          <w:rFonts w:ascii="Bookman Old Style" w:hAnsi="Bookman Old Style"/>
          <w:sz w:val="20"/>
          <w:szCs w:val="20"/>
        </w:rPr>
        <w:t>CanLII</w:t>
      </w:r>
      <w:proofErr w:type="spellEnd"/>
      <w:r w:rsidRPr="000A5C01">
        <w:rPr>
          <w:rFonts w:ascii="Bookman Old Style" w:hAnsi="Bookman Old Style"/>
          <w:sz w:val="20"/>
          <w:szCs w:val="20"/>
        </w:rPr>
        <w:t xml:space="preserve">), the HRTO held that in the absence of a sincerely held religious belief with a nexus to the divine or as a function of spiritual faith, the person could not assert that he was discriminated against based on creed, because the respondent had a requirement that employees be </w:t>
      </w:r>
      <w:proofErr w:type="gramStart"/>
      <w:r w:rsidRPr="000A5C01">
        <w:rPr>
          <w:rFonts w:ascii="Bookman Old Style" w:hAnsi="Bookman Old Style"/>
          <w:sz w:val="20"/>
          <w:szCs w:val="20"/>
        </w:rPr>
        <w:t>immunized</w:t>
      </w:r>
      <w:proofErr w:type="gramEnd"/>
      <w:r w:rsidRPr="000A5C01">
        <w:rPr>
          <w:rFonts w:ascii="Bookman Old Style" w:hAnsi="Bookman Old Style"/>
          <w:sz w:val="20"/>
          <w:szCs w:val="20"/>
        </w:rPr>
        <w:t xml:space="preserve"> and the person refused to be immunized. In </w:t>
      </w:r>
      <w:r w:rsidRPr="000A5C01">
        <w:rPr>
          <w:rStyle w:val="Emphasis"/>
          <w:rFonts w:ascii="Bookman Old Style" w:hAnsi="Bookman Old Style"/>
          <w:sz w:val="20"/>
          <w:szCs w:val="20"/>
        </w:rPr>
        <w:t>Sharma v Toronto (City)</w:t>
      </w:r>
      <w:r w:rsidRPr="000A5C01">
        <w:rPr>
          <w:rFonts w:ascii="Bookman Old Style" w:hAnsi="Bookman Old Style"/>
          <w:sz w:val="20"/>
          <w:szCs w:val="20"/>
        </w:rPr>
        <w:t>, 2020 HRTO 949 (</w:t>
      </w:r>
      <w:proofErr w:type="spellStart"/>
      <w:r w:rsidRPr="000A5C01">
        <w:rPr>
          <w:rFonts w:ascii="Bookman Old Style" w:hAnsi="Bookman Old Style"/>
          <w:sz w:val="20"/>
          <w:szCs w:val="20"/>
        </w:rPr>
        <w:t>CanLII</w:t>
      </w:r>
      <w:proofErr w:type="spellEnd"/>
      <w:r w:rsidRPr="000A5C01">
        <w:rPr>
          <w:rFonts w:ascii="Bookman Old Style" w:hAnsi="Bookman Old Style"/>
          <w:sz w:val="20"/>
          <w:szCs w:val="20"/>
        </w:rPr>
        <w:t>), the HRTO found the person’s objection to wearing a mask does not fall within the meaning of “creed.”</w:t>
      </w:r>
    </w:p>
    <w:p w14:paraId="01627C4F" w14:textId="77777777" w:rsidR="004C6906" w:rsidRPr="000A5C01" w:rsidRDefault="004C6906" w:rsidP="004C6906">
      <w:pPr>
        <w:numPr>
          <w:ilvl w:val="0"/>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Also, not all creed-related needs must be accommodated in the </w:t>
      </w:r>
      <w:r w:rsidRPr="000A5C01">
        <w:rPr>
          <w:rStyle w:val="Emphasis"/>
          <w:rFonts w:ascii="Bookman Old Style" w:hAnsi="Bookman Old Style"/>
          <w:sz w:val="20"/>
          <w:szCs w:val="20"/>
        </w:rPr>
        <w:t>Code</w:t>
      </w:r>
      <w:r w:rsidRPr="000A5C01">
        <w:rPr>
          <w:rFonts w:ascii="Bookman Old Style" w:hAnsi="Bookman Old Style"/>
          <w:sz w:val="20"/>
          <w:szCs w:val="20"/>
        </w:rPr>
        <w:t>-protected social areas, such as employment, facilities and services or housing.</w:t>
      </w:r>
    </w:p>
    <w:p w14:paraId="58CBD5F3" w14:textId="6C7B3070" w:rsidR="004C6906" w:rsidRPr="000A5C01" w:rsidRDefault="004C6906" w:rsidP="004C6906">
      <w:pPr>
        <w:numPr>
          <w:ilvl w:val="0"/>
          <w:numId w:val="3"/>
        </w:numPr>
        <w:spacing w:before="100" w:beforeAutospacing="1" w:after="100" w:afterAutospacing="1"/>
        <w:rPr>
          <w:rFonts w:ascii="Bookman Old Style" w:hAnsi="Bookman Old Style"/>
          <w:sz w:val="20"/>
          <w:szCs w:val="20"/>
        </w:rPr>
      </w:pPr>
      <w:r w:rsidRPr="000A5C01">
        <w:rPr>
          <w:rFonts w:ascii="Bookman Old Style" w:hAnsi="Bookman Old Style"/>
          <w:sz w:val="20"/>
          <w:szCs w:val="20"/>
        </w:rPr>
        <w:t xml:space="preserve">The requirement to wear a mask or prove vaccination may represent a reasonable and </w:t>
      </w:r>
      <w:r w:rsidRPr="000A5C01">
        <w:rPr>
          <w:rStyle w:val="Emphasis"/>
          <w:rFonts w:ascii="Bookman Old Style" w:hAnsi="Bookman Old Style"/>
          <w:sz w:val="20"/>
          <w:szCs w:val="20"/>
        </w:rPr>
        <w:t>bona fide</w:t>
      </w:r>
      <w:r w:rsidRPr="000A5C01">
        <w:rPr>
          <w:rFonts w:ascii="Bookman Old Style" w:hAnsi="Bookman Old Style"/>
          <w:sz w:val="20"/>
          <w:szCs w:val="20"/>
        </w:rPr>
        <w:t xml:space="preserve"> requirement for health and safety reasons, especially when serious risks to public health and safety are shown to exist like during a pandemic.</w:t>
      </w:r>
      <w:r w:rsidRPr="000A5C01">
        <w:rPr>
          <w:rStyle w:val="EndnoteReference"/>
          <w:rFonts w:ascii="Bookman Old Style" w:hAnsi="Bookman Old Style"/>
          <w:sz w:val="20"/>
          <w:szCs w:val="20"/>
        </w:rPr>
        <w:endnoteReference w:id="4"/>
      </w:r>
    </w:p>
    <w:p w14:paraId="78C10485" w14:textId="77777777" w:rsidR="00123609" w:rsidRPr="000A5C01" w:rsidRDefault="00123609" w:rsidP="008B6A82">
      <w:pPr>
        <w:ind w:hanging="11"/>
        <w:rPr>
          <w:rFonts w:ascii="Bookman Old Style" w:hAnsi="Bookman Old Style"/>
          <w:lang w:val="en-CA"/>
        </w:rPr>
      </w:pPr>
    </w:p>
    <w:p w14:paraId="20A79241" w14:textId="1B46E82F" w:rsidR="008B6A82" w:rsidRPr="000A5C01" w:rsidRDefault="008B6A82" w:rsidP="008B6A82">
      <w:pPr>
        <w:pStyle w:val="ListParagraph"/>
        <w:numPr>
          <w:ilvl w:val="0"/>
          <w:numId w:val="1"/>
        </w:numPr>
        <w:shd w:val="clear" w:color="auto" w:fill="FFFFFF"/>
        <w:ind w:left="0" w:hanging="11"/>
        <w:jc w:val="both"/>
        <w:rPr>
          <w:rFonts w:ascii="Bookman Old Style" w:hAnsi="Bookman Old Style"/>
          <w:b/>
          <w:bCs/>
          <w:color w:val="000000" w:themeColor="text1"/>
        </w:rPr>
      </w:pPr>
      <w:r w:rsidRPr="000A5C01">
        <w:rPr>
          <w:rFonts w:ascii="Bookman Old Style" w:hAnsi="Bookman Old Style"/>
          <w:b/>
          <w:bCs/>
          <w:color w:val="000000" w:themeColor="text1"/>
        </w:rPr>
        <w:t xml:space="preserve">Hospital </w:t>
      </w:r>
      <w:r w:rsidR="00EC1427" w:rsidRPr="000A5C01">
        <w:rPr>
          <w:rFonts w:ascii="Bookman Old Style" w:hAnsi="Bookman Old Style"/>
          <w:b/>
          <w:bCs/>
          <w:color w:val="000000" w:themeColor="text1"/>
        </w:rPr>
        <w:t>E</w:t>
      </w:r>
      <w:r w:rsidRPr="000A5C01">
        <w:rPr>
          <w:rFonts w:ascii="Bookman Old Style" w:hAnsi="Bookman Old Style"/>
          <w:b/>
          <w:bCs/>
          <w:color w:val="000000" w:themeColor="text1"/>
        </w:rPr>
        <w:t>mployer</w:t>
      </w:r>
    </w:p>
    <w:p w14:paraId="13BCE077" w14:textId="77777777" w:rsidR="008B6A82" w:rsidRPr="000A5C01" w:rsidRDefault="008B6A82" w:rsidP="008B6A82">
      <w:pPr>
        <w:pStyle w:val="ListParagraph"/>
        <w:shd w:val="clear" w:color="auto" w:fill="FFFFFF"/>
        <w:ind w:left="0"/>
        <w:jc w:val="both"/>
        <w:rPr>
          <w:rFonts w:ascii="Bookman Old Style" w:hAnsi="Bookman Old Style"/>
          <w:color w:val="000000" w:themeColor="text1"/>
        </w:rPr>
      </w:pPr>
    </w:p>
    <w:p w14:paraId="1F0B6085" w14:textId="621AA5FD" w:rsidR="008B6A82" w:rsidRPr="000A5C01" w:rsidRDefault="008B6A82" w:rsidP="008B6A82">
      <w:pPr>
        <w:pStyle w:val="ListParagraph"/>
        <w:shd w:val="clear" w:color="auto" w:fill="FFFFFF"/>
        <w:ind w:left="0"/>
        <w:jc w:val="both"/>
        <w:rPr>
          <w:rFonts w:ascii="Bookman Old Style" w:hAnsi="Bookman Old Style"/>
          <w:color w:val="000000" w:themeColor="text1"/>
        </w:rPr>
      </w:pPr>
      <w:r w:rsidRPr="000A5C01">
        <w:rPr>
          <w:rFonts w:ascii="Bookman Old Style" w:hAnsi="Bookman Old Style"/>
          <w:color w:val="000000" w:themeColor="text1"/>
        </w:rPr>
        <w:t xml:space="preserve">In </w:t>
      </w:r>
      <w:r w:rsidRPr="000A5C01">
        <w:rPr>
          <w:rFonts w:ascii="Bookman Old Style" w:hAnsi="Bookman Old Style"/>
          <w:i/>
          <w:iCs/>
          <w:color w:val="000000" w:themeColor="text1"/>
        </w:rPr>
        <w:t>Eldridge</w:t>
      </w:r>
      <w:r w:rsidRPr="000A5C01">
        <w:rPr>
          <w:rFonts w:ascii="Bookman Old Style" w:hAnsi="Bookman Old Style"/>
          <w:color w:val="000000" w:themeColor="text1"/>
        </w:rPr>
        <w:t xml:space="preserve"> v. </w:t>
      </w:r>
      <w:r w:rsidRPr="000A5C01">
        <w:rPr>
          <w:rFonts w:ascii="Bookman Old Style" w:hAnsi="Bookman Old Style"/>
          <w:i/>
          <w:iCs/>
          <w:color w:val="000000" w:themeColor="text1"/>
        </w:rPr>
        <w:t>British Columbia</w:t>
      </w:r>
      <w:r w:rsidR="00B9293B" w:rsidRPr="000A5C01">
        <w:rPr>
          <w:rStyle w:val="EndnoteReference"/>
          <w:rFonts w:ascii="Bookman Old Style" w:hAnsi="Bookman Old Style"/>
          <w:i/>
          <w:iCs/>
          <w:color w:val="000000" w:themeColor="text1"/>
        </w:rPr>
        <w:endnoteReference w:id="5"/>
      </w:r>
      <w:r w:rsidRPr="000A5C01">
        <w:rPr>
          <w:rFonts w:ascii="Bookman Old Style" w:hAnsi="Bookman Old Style"/>
          <w:color w:val="000000" w:themeColor="text1"/>
        </w:rPr>
        <w:t xml:space="preserve">, the Court found that hospitals are often subject to </w:t>
      </w:r>
      <w:r w:rsidRPr="000A5C01">
        <w:rPr>
          <w:rFonts w:ascii="Bookman Old Style" w:hAnsi="Bookman Old Style"/>
          <w:i/>
          <w:iCs/>
          <w:color w:val="000000" w:themeColor="text1"/>
        </w:rPr>
        <w:t>Charter</w:t>
      </w:r>
      <w:r w:rsidRPr="000A5C01">
        <w:rPr>
          <w:rFonts w:ascii="Bookman Old Style" w:hAnsi="Bookman Old Style"/>
          <w:color w:val="000000" w:themeColor="text1"/>
        </w:rPr>
        <w:t xml:space="preserve"> scrutiny as many government policies are designed to be carried out by the hospitals. </w:t>
      </w:r>
    </w:p>
    <w:p w14:paraId="6E06F4DA" w14:textId="77777777" w:rsidR="008B6A82" w:rsidRPr="000A5C01" w:rsidRDefault="008B6A82" w:rsidP="00123609">
      <w:pPr>
        <w:pStyle w:val="Body"/>
        <w:jc w:val="both"/>
        <w:rPr>
          <w:rFonts w:ascii="Bookman Old Style" w:hAnsi="Bookman Old Style"/>
          <w:color w:val="000000" w:themeColor="text1"/>
        </w:rPr>
      </w:pPr>
    </w:p>
    <w:p w14:paraId="1BEC340D" w14:textId="0A4617F0" w:rsidR="008B6A82" w:rsidRPr="000A5C01" w:rsidRDefault="008B6A82" w:rsidP="008B6A82">
      <w:pPr>
        <w:pStyle w:val="Body"/>
        <w:ind w:hanging="11"/>
        <w:jc w:val="both"/>
        <w:rPr>
          <w:rFonts w:ascii="Bookman Old Style" w:hAnsi="Bookman Old Style"/>
          <w:color w:val="000000" w:themeColor="text1"/>
        </w:rPr>
      </w:pPr>
      <w:r w:rsidRPr="000A5C01">
        <w:rPr>
          <w:rFonts w:ascii="Bookman Old Style" w:hAnsi="Bookman Old Style"/>
          <w:color w:val="000000" w:themeColor="text1"/>
        </w:rPr>
        <w:t>As a public provider of health services, (</w:t>
      </w:r>
      <w:r w:rsidRPr="000A5C01">
        <w:rPr>
          <w:rFonts w:ascii="Bookman Old Style" w:hAnsi="Bookman Old Style"/>
          <w:i/>
          <w:iCs/>
          <w:color w:val="000000" w:themeColor="text1"/>
        </w:rPr>
        <w:t>Put the name of your employer in here)</w:t>
      </w:r>
      <w:r w:rsidRPr="000A5C01">
        <w:rPr>
          <w:rFonts w:ascii="Bookman Old Style" w:hAnsi="Bookman Old Style"/>
          <w:color w:val="000000" w:themeColor="text1"/>
        </w:rPr>
        <w:t xml:space="preserve"> is subject to the </w:t>
      </w:r>
      <w:r w:rsidRPr="000A5C01">
        <w:rPr>
          <w:rFonts w:ascii="Bookman Old Style" w:hAnsi="Bookman Old Style"/>
          <w:i/>
          <w:iCs/>
          <w:color w:val="000000" w:themeColor="text1"/>
        </w:rPr>
        <w:t>Canadian Charter of Rights and Freedoms</w:t>
      </w:r>
      <w:r w:rsidRPr="000A5C01">
        <w:rPr>
          <w:rFonts w:ascii="Bookman Old Style" w:hAnsi="Bookman Old Style"/>
          <w:color w:val="000000" w:themeColor="text1"/>
        </w:rPr>
        <w:t xml:space="preserve"> (“</w:t>
      </w:r>
      <w:r w:rsidRPr="000A5C01">
        <w:rPr>
          <w:rFonts w:ascii="Bookman Old Style" w:hAnsi="Bookman Old Style"/>
          <w:b/>
          <w:bCs/>
          <w:i/>
          <w:iCs/>
          <w:color w:val="000000" w:themeColor="text1"/>
        </w:rPr>
        <w:t>Charter</w:t>
      </w:r>
      <w:r w:rsidRPr="000A5C01">
        <w:rPr>
          <w:rFonts w:ascii="Bookman Old Style" w:hAnsi="Bookman Old Style"/>
          <w:color w:val="000000" w:themeColor="text1"/>
        </w:rPr>
        <w:t>”) Section 2 of the </w:t>
      </w:r>
      <w:r w:rsidRPr="000A5C01">
        <w:rPr>
          <w:rFonts w:ascii="Bookman Old Style" w:hAnsi="Bookman Old Style"/>
          <w:i/>
          <w:iCs/>
          <w:color w:val="000000" w:themeColor="text1"/>
        </w:rPr>
        <w:t xml:space="preserve">Charter of Rights </w:t>
      </w:r>
      <w:r w:rsidRPr="000A5C01">
        <w:rPr>
          <w:rFonts w:ascii="Bookman Old Style" w:hAnsi="Bookman Old Style"/>
          <w:color w:val="000000" w:themeColor="text1"/>
        </w:rPr>
        <w:t xml:space="preserve">guarantees that all Canadians are entitled to freedom of conscience and religion, expression, thought, opinion, and belief. </w:t>
      </w:r>
    </w:p>
    <w:p w14:paraId="4F959D14" w14:textId="77777777" w:rsidR="008B6A82" w:rsidRPr="000A5C01" w:rsidRDefault="008B6A82" w:rsidP="008B6A82">
      <w:pPr>
        <w:pStyle w:val="ListParagraph"/>
        <w:shd w:val="clear" w:color="auto" w:fill="FFFFFF"/>
        <w:ind w:left="0" w:hanging="11"/>
        <w:jc w:val="both"/>
        <w:rPr>
          <w:rFonts w:ascii="Bookman Old Style" w:hAnsi="Bookman Old Style"/>
          <w:color w:val="000000" w:themeColor="text1"/>
        </w:rPr>
      </w:pPr>
    </w:p>
    <w:p w14:paraId="39B7F79C" w14:textId="53D0A64C" w:rsidR="008B6A82" w:rsidRPr="000A5C01" w:rsidRDefault="00123609" w:rsidP="008B6A82">
      <w:pPr>
        <w:ind w:hanging="11"/>
        <w:jc w:val="both"/>
        <w:rPr>
          <w:rFonts w:ascii="Bookman Old Style" w:hAnsi="Bookman Old Style"/>
          <w:color w:val="000000" w:themeColor="text1"/>
        </w:rPr>
      </w:pPr>
      <w:r w:rsidRPr="000A5C01">
        <w:rPr>
          <w:rFonts w:ascii="Bookman Old Style" w:hAnsi="Bookman Old Style"/>
          <w:color w:val="000000" w:themeColor="text1"/>
        </w:rPr>
        <w:t>Security of the person</w:t>
      </w:r>
      <w:r w:rsidR="008B6A82" w:rsidRPr="000A5C01">
        <w:rPr>
          <w:rFonts w:ascii="Bookman Old Style" w:hAnsi="Bookman Old Style"/>
          <w:color w:val="000000" w:themeColor="text1"/>
        </w:rPr>
        <w:t xml:space="preserve"> under section 7 of the</w:t>
      </w:r>
      <w:r w:rsidR="008B6A82" w:rsidRPr="000A5C01">
        <w:rPr>
          <w:rFonts w:ascii="Bookman Old Style" w:hAnsi="Bookman Old Style"/>
          <w:i/>
          <w:iCs/>
          <w:color w:val="000000" w:themeColor="text1"/>
        </w:rPr>
        <w:t> Charter</w:t>
      </w:r>
      <w:r w:rsidR="008B6A82" w:rsidRPr="000A5C01">
        <w:rPr>
          <w:rFonts w:ascii="Bookman Old Style" w:hAnsi="Bookman Old Style"/>
          <w:color w:val="000000" w:themeColor="text1"/>
        </w:rPr>
        <w:t> protects individual’s rights to bodily autonomy. Ownership and autonomy over the body and the ability to freely choose what does or does not enter one’s body is a critical aspect of individual and religious liberty. Liberty is egregiously interfered with by the threat of being fired and excluded from programs and services if individuals decline to be unnecessarily injected with the COVID-19 vaccines that may carry serious risks and limited benefits.</w:t>
      </w:r>
      <w:r w:rsidR="008B6A82" w:rsidRPr="000A5C01">
        <w:rPr>
          <w:rStyle w:val="EndnoteReference"/>
          <w:rFonts w:ascii="Bookman Old Style" w:hAnsi="Bookman Old Style"/>
          <w:color w:val="000000" w:themeColor="text1"/>
        </w:rPr>
        <w:endnoteReference w:id="6"/>
      </w:r>
    </w:p>
    <w:p w14:paraId="534F7536" w14:textId="2A506C2A" w:rsidR="008B6A82" w:rsidRPr="000A5C01" w:rsidRDefault="008B6A82" w:rsidP="008B6A82">
      <w:pPr>
        <w:ind w:hanging="11"/>
        <w:jc w:val="both"/>
        <w:rPr>
          <w:rFonts w:ascii="Bookman Old Style" w:hAnsi="Bookman Old Style"/>
          <w:lang w:val="en-CA"/>
        </w:rPr>
      </w:pPr>
    </w:p>
    <w:p w14:paraId="6A524F09" w14:textId="6045D879" w:rsidR="008B6A82" w:rsidRPr="000A5C01" w:rsidRDefault="00EC1427" w:rsidP="00EC1427">
      <w:pPr>
        <w:pStyle w:val="ListParagraph"/>
        <w:numPr>
          <w:ilvl w:val="0"/>
          <w:numId w:val="1"/>
        </w:numPr>
        <w:shd w:val="clear" w:color="auto" w:fill="FFFFFF"/>
        <w:ind w:left="0" w:hanging="11"/>
        <w:jc w:val="both"/>
        <w:rPr>
          <w:rFonts w:ascii="Bookman Old Style" w:hAnsi="Bookman Old Style"/>
          <w:b/>
          <w:bCs/>
          <w:color w:val="000000" w:themeColor="text1"/>
        </w:rPr>
      </w:pPr>
      <w:r w:rsidRPr="000A5C01">
        <w:rPr>
          <w:rFonts w:ascii="Bookman Old Style" w:hAnsi="Bookman Old Style"/>
          <w:b/>
          <w:bCs/>
          <w:color w:val="000000" w:themeColor="text1"/>
        </w:rPr>
        <w:t>Ontario Health Care Employer</w:t>
      </w:r>
    </w:p>
    <w:p w14:paraId="1216DBF0" w14:textId="77777777" w:rsidR="00EC1427" w:rsidRPr="000A5C01" w:rsidRDefault="00EC1427" w:rsidP="00EC1427">
      <w:pPr>
        <w:ind w:hanging="11"/>
        <w:jc w:val="both"/>
        <w:rPr>
          <w:rFonts w:ascii="Bookman Old Style" w:hAnsi="Bookman Old Style"/>
          <w:color w:val="000000" w:themeColor="text1"/>
        </w:rPr>
      </w:pPr>
    </w:p>
    <w:p w14:paraId="59209861" w14:textId="5E5A83CD" w:rsidR="00EC1427" w:rsidRPr="000A5C01" w:rsidRDefault="00EC1427" w:rsidP="00EC1427">
      <w:pPr>
        <w:ind w:hanging="11"/>
        <w:jc w:val="both"/>
        <w:rPr>
          <w:rFonts w:ascii="Bookman Old Style" w:hAnsi="Bookman Old Style"/>
          <w:color w:val="000000" w:themeColor="text1"/>
        </w:rPr>
      </w:pPr>
      <w:r w:rsidRPr="000A5C01">
        <w:rPr>
          <w:rFonts w:ascii="Bookman Old Style" w:hAnsi="Bookman Old Style"/>
          <w:color w:val="000000" w:themeColor="text1"/>
        </w:rPr>
        <w:lastRenderedPageBreak/>
        <w:t>The Ontario Government has indicated to all employers (</w:t>
      </w:r>
      <w:proofErr w:type="gramStart"/>
      <w:r w:rsidRPr="000A5C01">
        <w:rPr>
          <w:rFonts w:ascii="Bookman Old Style" w:hAnsi="Bookman Old Style"/>
          <w:color w:val="000000" w:themeColor="text1"/>
        </w:rPr>
        <w:t>with the exception of</w:t>
      </w:r>
      <w:proofErr w:type="gramEnd"/>
      <w:r w:rsidRPr="000A5C01">
        <w:rPr>
          <w:rFonts w:ascii="Bookman Old Style" w:hAnsi="Bookman Old Style"/>
          <w:color w:val="000000" w:themeColor="text1"/>
        </w:rPr>
        <w:t xml:space="preserve"> health care workers) that employees who decline vaccination may be reasonably accommodated with testing and mask policies.</w:t>
      </w:r>
      <w:r w:rsidR="00123609" w:rsidRPr="000A5C01">
        <w:rPr>
          <w:rFonts w:ascii="Bookman Old Style" w:hAnsi="Bookman Old Style"/>
          <w:color w:val="000000" w:themeColor="text1"/>
        </w:rPr>
        <w:t xml:space="preserve"> </w:t>
      </w:r>
      <w:r w:rsidRPr="000A5C01">
        <w:rPr>
          <w:rFonts w:ascii="Bookman Old Style" w:hAnsi="Bookman Old Style"/>
        </w:rPr>
        <w:endnoteReference w:id="7"/>
      </w:r>
      <w:r w:rsidRPr="000A5C01">
        <w:rPr>
          <w:rFonts w:ascii="Bookman Old Style" w:hAnsi="Bookman Old Style"/>
          <w:color w:val="000000" w:themeColor="text1"/>
        </w:rPr>
        <w:t xml:space="preserve"> The strictest directive from the government of Ontario is set out in Directive 6</w:t>
      </w:r>
      <w:r w:rsidR="00123609" w:rsidRPr="000A5C01">
        <w:rPr>
          <w:rFonts w:ascii="Bookman Old Style" w:hAnsi="Bookman Old Style"/>
          <w:color w:val="000000" w:themeColor="text1"/>
        </w:rPr>
        <w:t xml:space="preserve"> </w:t>
      </w:r>
      <w:r w:rsidRPr="000A5C01">
        <w:rPr>
          <w:rFonts w:ascii="Bookman Old Style" w:hAnsi="Bookman Old Style"/>
        </w:rPr>
        <w:endnoteReference w:id="8"/>
      </w:r>
      <w:r w:rsidRPr="000A5C01">
        <w:rPr>
          <w:rFonts w:ascii="Bookman Old Style" w:hAnsi="Bookman Old Style"/>
          <w:color w:val="000000" w:themeColor="text1"/>
        </w:rPr>
        <w:t xml:space="preserve"> for employees in health care.  Directive 6 also explicitly provides accommodation with testing and education for those who decline the vaccines for any reason. I consent to the Ontario Government accommodations as set out in their recommendations and in Directive 6.</w:t>
      </w:r>
    </w:p>
    <w:p w14:paraId="2569D460" w14:textId="60348ED4" w:rsidR="00123609" w:rsidRPr="000A5C01" w:rsidRDefault="00123609" w:rsidP="00EC1427">
      <w:pPr>
        <w:ind w:hanging="11"/>
        <w:jc w:val="both"/>
        <w:rPr>
          <w:rFonts w:ascii="Bookman Old Style" w:hAnsi="Bookman Old Style"/>
          <w:color w:val="000000" w:themeColor="text1"/>
        </w:rPr>
      </w:pPr>
    </w:p>
    <w:p w14:paraId="5B5836E0" w14:textId="33E8689B" w:rsidR="00123609" w:rsidRPr="000A5C01" w:rsidRDefault="00123609" w:rsidP="00EC1427">
      <w:pPr>
        <w:ind w:hanging="11"/>
        <w:jc w:val="both"/>
        <w:rPr>
          <w:rFonts w:ascii="Bookman Old Style" w:hAnsi="Bookman Old Style"/>
          <w:color w:val="000000" w:themeColor="text1"/>
        </w:rPr>
      </w:pPr>
      <w:r w:rsidRPr="000A5C01">
        <w:rPr>
          <w:rFonts w:ascii="Bookman Old Style" w:hAnsi="Bookman Old Style"/>
          <w:color w:val="000000" w:themeColor="text1"/>
        </w:rPr>
        <w:t xml:space="preserve">There is no mention of termination or leave of absence.  There is only mention of accommodation. </w:t>
      </w:r>
    </w:p>
    <w:p w14:paraId="2DA8C137" w14:textId="3E093365" w:rsidR="00EC1427" w:rsidRPr="000A5C01" w:rsidRDefault="00EC1427" w:rsidP="00EC1427">
      <w:pPr>
        <w:jc w:val="both"/>
        <w:rPr>
          <w:rFonts w:ascii="Bookman Old Style" w:hAnsi="Bookman Old Style"/>
          <w:color w:val="000000" w:themeColor="text1"/>
        </w:rPr>
      </w:pPr>
    </w:p>
    <w:p w14:paraId="0205906C" w14:textId="2A8233D6" w:rsidR="00EC1427" w:rsidRPr="000A5C01" w:rsidRDefault="00EC1427" w:rsidP="00EC1427">
      <w:pPr>
        <w:pStyle w:val="ListParagraph"/>
        <w:jc w:val="both"/>
        <w:rPr>
          <w:rFonts w:ascii="Bookman Old Style" w:hAnsi="Bookman Old Style"/>
          <w:color w:val="000000" w:themeColor="text1"/>
        </w:rPr>
      </w:pPr>
    </w:p>
    <w:p w14:paraId="600B5FDA" w14:textId="192A8F93" w:rsidR="00EC1427" w:rsidRPr="000A5C01" w:rsidRDefault="00EC1427" w:rsidP="00EC1427">
      <w:pPr>
        <w:pStyle w:val="ListParagraph"/>
        <w:numPr>
          <w:ilvl w:val="0"/>
          <w:numId w:val="1"/>
        </w:numPr>
        <w:shd w:val="clear" w:color="auto" w:fill="FFFFFF"/>
        <w:ind w:left="0" w:hanging="11"/>
        <w:jc w:val="both"/>
        <w:rPr>
          <w:rFonts w:ascii="Bookman Old Style" w:hAnsi="Bookman Old Style"/>
          <w:b/>
          <w:bCs/>
          <w:color w:val="000000" w:themeColor="text1"/>
        </w:rPr>
      </w:pPr>
      <w:r w:rsidRPr="000A5C01">
        <w:rPr>
          <w:rFonts w:ascii="Bookman Old Style" w:hAnsi="Bookman Old Style"/>
          <w:b/>
          <w:bCs/>
          <w:color w:val="000000" w:themeColor="text1"/>
        </w:rPr>
        <w:t>Universities</w:t>
      </w:r>
    </w:p>
    <w:p w14:paraId="2F252C69" w14:textId="77777777" w:rsidR="00EC1427" w:rsidRPr="000A5C01" w:rsidRDefault="00EC1427" w:rsidP="00EC1427">
      <w:pPr>
        <w:pStyle w:val="ListParagraph"/>
        <w:shd w:val="clear" w:color="auto" w:fill="FFFFFF"/>
        <w:ind w:left="0"/>
        <w:jc w:val="both"/>
        <w:rPr>
          <w:rFonts w:ascii="Bookman Old Style" w:hAnsi="Bookman Old Style"/>
          <w:color w:val="000000" w:themeColor="text1"/>
        </w:rPr>
      </w:pPr>
    </w:p>
    <w:p w14:paraId="71FC841D" w14:textId="64268718" w:rsidR="00EC1427" w:rsidRPr="000A5C01" w:rsidRDefault="00EC1427" w:rsidP="00EC1427">
      <w:pPr>
        <w:pStyle w:val="Body"/>
        <w:jc w:val="both"/>
        <w:rPr>
          <w:rFonts w:ascii="Bookman Old Style" w:hAnsi="Bookman Old Style"/>
          <w:color w:val="000000" w:themeColor="text1"/>
        </w:rPr>
      </w:pPr>
      <w:r w:rsidRPr="000A5C01">
        <w:rPr>
          <w:rFonts w:ascii="Bookman Old Style" w:hAnsi="Bookman Old Style"/>
          <w:color w:val="000000" w:themeColor="text1"/>
        </w:rPr>
        <w:t xml:space="preserve">Universities are subject to </w:t>
      </w:r>
      <w:r w:rsidR="00B9293B" w:rsidRPr="000A5C01">
        <w:rPr>
          <w:rFonts w:ascii="Bookman Old Style" w:hAnsi="Bookman Old Style"/>
          <w:color w:val="000000" w:themeColor="text1"/>
        </w:rPr>
        <w:t xml:space="preserve">the </w:t>
      </w:r>
      <w:r w:rsidR="00B9293B" w:rsidRPr="000A5C01">
        <w:rPr>
          <w:rFonts w:ascii="Bookman Old Style" w:hAnsi="Bookman Old Style"/>
          <w:i/>
          <w:iCs/>
          <w:color w:val="000000" w:themeColor="text1"/>
        </w:rPr>
        <w:t>Charter</w:t>
      </w:r>
      <w:r w:rsidR="00B9293B" w:rsidRPr="000A5C01">
        <w:rPr>
          <w:rFonts w:ascii="Bookman Old Style" w:hAnsi="Bookman Old Style"/>
          <w:color w:val="000000" w:themeColor="text1"/>
        </w:rPr>
        <w:t>. S</w:t>
      </w:r>
      <w:r w:rsidRPr="000A5C01">
        <w:rPr>
          <w:rFonts w:ascii="Bookman Old Style" w:hAnsi="Bookman Old Style"/>
          <w:color w:val="000000" w:themeColor="text1"/>
        </w:rPr>
        <w:t>ection 2 of the </w:t>
      </w:r>
      <w:r w:rsidRPr="000A5C01">
        <w:rPr>
          <w:rFonts w:ascii="Bookman Old Style" w:hAnsi="Bookman Old Style"/>
          <w:i/>
          <w:iCs/>
          <w:color w:val="000000" w:themeColor="text1"/>
        </w:rPr>
        <w:t>Canadian Charter of Rights and Freedoms</w:t>
      </w:r>
      <w:r w:rsidRPr="000A5C01">
        <w:rPr>
          <w:rFonts w:ascii="Bookman Old Style" w:hAnsi="Bookman Old Style"/>
          <w:color w:val="000000" w:themeColor="text1"/>
        </w:rPr>
        <w:t xml:space="preserve"> guarantees that all Canadians are entitled to freedom of conscience and religion, expression, thought, opinion, and belief. </w:t>
      </w:r>
    </w:p>
    <w:p w14:paraId="7F654E62" w14:textId="77777777" w:rsidR="00EC1427" w:rsidRPr="000A5C01" w:rsidRDefault="00EC1427" w:rsidP="00EC1427">
      <w:pPr>
        <w:pStyle w:val="ListParagraph"/>
        <w:shd w:val="clear" w:color="auto" w:fill="FFFFFF"/>
        <w:ind w:left="0"/>
        <w:jc w:val="both"/>
        <w:rPr>
          <w:rFonts w:ascii="Bookman Old Style" w:hAnsi="Bookman Old Style"/>
          <w:color w:val="000000" w:themeColor="text1"/>
        </w:rPr>
      </w:pPr>
    </w:p>
    <w:p w14:paraId="2B91CFC4" w14:textId="3660E18F" w:rsidR="00EC1427" w:rsidRPr="000A5C01" w:rsidRDefault="00B9293B" w:rsidP="00EC1427">
      <w:pPr>
        <w:pStyle w:val="ListParagraph"/>
        <w:shd w:val="clear" w:color="auto" w:fill="FFFFFF"/>
        <w:ind w:left="0"/>
        <w:jc w:val="both"/>
        <w:rPr>
          <w:rFonts w:ascii="Bookman Old Style" w:hAnsi="Bookman Old Style"/>
          <w:color w:val="000000" w:themeColor="text1"/>
        </w:rPr>
      </w:pPr>
      <w:r w:rsidRPr="000A5C01">
        <w:rPr>
          <w:rFonts w:ascii="Bookman Old Style" w:hAnsi="Bookman Old Style"/>
          <w:color w:val="000000" w:themeColor="text1"/>
        </w:rPr>
        <w:t>Security of the person</w:t>
      </w:r>
      <w:r w:rsidR="00EC1427" w:rsidRPr="000A5C01">
        <w:rPr>
          <w:rFonts w:ascii="Bookman Old Style" w:hAnsi="Bookman Old Style"/>
          <w:color w:val="000000" w:themeColor="text1"/>
        </w:rPr>
        <w:t xml:space="preserve"> under section 7 of the</w:t>
      </w:r>
      <w:r w:rsidR="00EC1427" w:rsidRPr="000A5C01">
        <w:rPr>
          <w:rFonts w:ascii="Bookman Old Style" w:hAnsi="Bookman Old Style"/>
          <w:i/>
          <w:iCs/>
          <w:color w:val="000000" w:themeColor="text1"/>
        </w:rPr>
        <w:t> Charter</w:t>
      </w:r>
      <w:r w:rsidR="00EC1427" w:rsidRPr="000A5C01">
        <w:rPr>
          <w:rFonts w:ascii="Bookman Old Style" w:hAnsi="Bookman Old Style"/>
          <w:color w:val="000000" w:themeColor="text1"/>
        </w:rPr>
        <w:t> protects individual’s rights to bodily autonomy. Ownership and autonomy over the body and the ability to freely choose what does or does not enter one’s body is a critical aspect of individual and religious liberty. Liberty is egregiously interfered with by the threat of being fired and excluded from programs and services if individuals decline to be unnecessarily injected with the COVID-19 vaccines that may carry serious risks and limited benefits.</w:t>
      </w:r>
    </w:p>
    <w:p w14:paraId="6B43947E" w14:textId="77777777" w:rsidR="00EC1427" w:rsidRPr="000A5C01" w:rsidRDefault="00EC1427" w:rsidP="00EC1427">
      <w:pPr>
        <w:pStyle w:val="ListParagraph"/>
        <w:ind w:left="0"/>
        <w:jc w:val="both"/>
        <w:rPr>
          <w:rFonts w:ascii="Bookman Old Style" w:hAnsi="Bookman Old Style"/>
          <w:color w:val="000000" w:themeColor="text1"/>
        </w:rPr>
      </w:pPr>
    </w:p>
    <w:p w14:paraId="408F8EDA" w14:textId="1A2877DD" w:rsidR="008B6A82" w:rsidRPr="000A5C01" w:rsidRDefault="00EC1427" w:rsidP="00EC1427">
      <w:pPr>
        <w:pStyle w:val="ListParagraph"/>
        <w:numPr>
          <w:ilvl w:val="0"/>
          <w:numId w:val="1"/>
        </w:numPr>
        <w:shd w:val="clear" w:color="auto" w:fill="FFFFFF"/>
        <w:ind w:left="0" w:hanging="11"/>
        <w:jc w:val="both"/>
        <w:rPr>
          <w:rFonts w:ascii="Bookman Old Style" w:hAnsi="Bookman Old Style"/>
          <w:b/>
          <w:bCs/>
          <w:lang w:val="en-CA"/>
        </w:rPr>
      </w:pPr>
      <w:r w:rsidRPr="000A5C01">
        <w:rPr>
          <w:rFonts w:ascii="Bookman Old Style" w:hAnsi="Bookman Old Style"/>
          <w:b/>
          <w:bCs/>
          <w:lang w:val="en-CA"/>
        </w:rPr>
        <w:t xml:space="preserve">Elementary and High-School </w:t>
      </w:r>
    </w:p>
    <w:p w14:paraId="245DAF13" w14:textId="791AB185" w:rsidR="00EC1427" w:rsidRPr="000A5C01" w:rsidRDefault="00EC1427" w:rsidP="00EC1427">
      <w:pPr>
        <w:shd w:val="clear" w:color="auto" w:fill="FFFFFF"/>
        <w:jc w:val="both"/>
        <w:rPr>
          <w:rFonts w:ascii="Bookman Old Style" w:hAnsi="Bookman Old Style"/>
          <w:b/>
          <w:bCs/>
          <w:lang w:val="en-CA"/>
        </w:rPr>
      </w:pPr>
    </w:p>
    <w:p w14:paraId="5537D380" w14:textId="4ADD21B6" w:rsidR="008B4F78" w:rsidRPr="000A5C01" w:rsidRDefault="00DF3A3A" w:rsidP="008B4F78">
      <w:pPr>
        <w:ind w:hanging="11"/>
        <w:jc w:val="both"/>
        <w:rPr>
          <w:rFonts w:ascii="Bookman Old Style" w:hAnsi="Bookman Old Style"/>
          <w:color w:val="000000" w:themeColor="text1"/>
        </w:rPr>
      </w:pPr>
      <w:r w:rsidRPr="000A5C01">
        <w:rPr>
          <w:rFonts w:ascii="Bookman Old Style" w:hAnsi="Bookman Old Style"/>
          <w:color w:val="000000" w:themeColor="text1"/>
        </w:rPr>
        <w:t xml:space="preserve">You may have forms exempting students from vaccines.  Look for these and utilize them if possible. </w:t>
      </w:r>
      <w:r w:rsidR="008B4F78" w:rsidRPr="000A5C01">
        <w:rPr>
          <w:rFonts w:ascii="Bookman Old Style" w:hAnsi="Bookman Old Style"/>
          <w:color w:val="000000" w:themeColor="text1"/>
        </w:rPr>
        <w:t xml:space="preserve">The </w:t>
      </w:r>
      <w:r w:rsidR="008B4F78" w:rsidRPr="000A5C01">
        <w:rPr>
          <w:rFonts w:ascii="Bookman Old Style" w:hAnsi="Bookman Old Style"/>
          <w:i/>
          <w:iCs/>
          <w:color w:val="000000" w:themeColor="text1"/>
        </w:rPr>
        <w:t>(put in the name of your provincial human rights act here)</w:t>
      </w:r>
      <w:r w:rsidR="008B4F78" w:rsidRPr="000A5C01">
        <w:rPr>
          <w:rFonts w:ascii="Bookman Old Style" w:hAnsi="Bookman Old Style"/>
          <w:color w:val="000000" w:themeColor="text1"/>
        </w:rPr>
        <w:t xml:space="preserve"> protects the ground of religious belief, which includes a system of belief and does not require an objector to belong to a church to be considered for exemption. A </w:t>
      </w:r>
      <w:r w:rsidR="008B4F78" w:rsidRPr="000A5C01">
        <w:rPr>
          <w:rFonts w:ascii="Bookman Old Style" w:hAnsi="Bookman Old Style"/>
          <w:i/>
          <w:iCs/>
          <w:color w:val="000000" w:themeColor="text1"/>
        </w:rPr>
        <w:t xml:space="preserve">bona fide </w:t>
      </w:r>
      <w:r w:rsidR="008B4F78" w:rsidRPr="000A5C01">
        <w:rPr>
          <w:rFonts w:ascii="Bookman Old Style" w:hAnsi="Bookman Old Style"/>
          <w:color w:val="000000" w:themeColor="text1"/>
        </w:rPr>
        <w:t xml:space="preserve">requirement is necessary </w:t>
      </w:r>
      <w:proofErr w:type="gramStart"/>
      <w:r w:rsidR="008B4F78" w:rsidRPr="000A5C01">
        <w:rPr>
          <w:rFonts w:ascii="Bookman Old Style" w:hAnsi="Bookman Old Style"/>
          <w:color w:val="000000" w:themeColor="text1"/>
        </w:rPr>
        <w:t>in order to</w:t>
      </w:r>
      <w:proofErr w:type="gramEnd"/>
      <w:r w:rsidR="008B4F78" w:rsidRPr="000A5C01">
        <w:rPr>
          <w:rFonts w:ascii="Bookman Old Style" w:hAnsi="Bookman Old Style"/>
          <w:color w:val="000000" w:themeColor="text1"/>
        </w:rPr>
        <w:t xml:space="preserve"> infringe on my objections based on religious belief.  That means that the policies of (</w:t>
      </w:r>
      <w:r w:rsidR="008B4F78" w:rsidRPr="000A5C01">
        <w:rPr>
          <w:rFonts w:ascii="Bookman Old Style" w:hAnsi="Bookman Old Style"/>
          <w:i/>
          <w:iCs/>
          <w:color w:val="000000" w:themeColor="text1"/>
        </w:rPr>
        <w:t>put in the name of your employer here)</w:t>
      </w:r>
      <w:r w:rsidR="008B4F78" w:rsidRPr="000A5C01">
        <w:rPr>
          <w:rFonts w:ascii="Bookman Old Style" w:hAnsi="Bookman Old Style"/>
          <w:color w:val="000000" w:themeColor="text1"/>
        </w:rPr>
        <w:t xml:space="preserve"> must be rationally connected to a reasonable basis.</w:t>
      </w:r>
    </w:p>
    <w:p w14:paraId="59B9BA21" w14:textId="77777777" w:rsidR="008B4F78" w:rsidRPr="000A5C01" w:rsidRDefault="008B4F78" w:rsidP="008B4F78">
      <w:pPr>
        <w:ind w:hanging="11"/>
        <w:jc w:val="both"/>
        <w:rPr>
          <w:rFonts w:ascii="Bookman Old Style" w:hAnsi="Bookman Old Style"/>
          <w:color w:val="000000" w:themeColor="text1"/>
        </w:rPr>
      </w:pPr>
    </w:p>
    <w:p w14:paraId="45265BA8" w14:textId="77777777" w:rsidR="008B4F78" w:rsidRPr="000A5C01" w:rsidRDefault="008B4F78" w:rsidP="008B4F78">
      <w:pPr>
        <w:ind w:hanging="11"/>
        <w:jc w:val="both"/>
        <w:rPr>
          <w:rFonts w:ascii="Bookman Old Style" w:hAnsi="Bookman Old Style"/>
          <w:color w:val="000000" w:themeColor="text1"/>
        </w:rPr>
      </w:pPr>
      <w:r w:rsidRPr="000A5C01">
        <w:rPr>
          <w:rFonts w:ascii="Bookman Old Style" w:hAnsi="Bookman Old Style"/>
          <w:color w:val="000000" w:themeColor="text1"/>
        </w:rPr>
        <w:t xml:space="preserve">The Supreme Court of Canada case, </w:t>
      </w:r>
      <w:proofErr w:type="spellStart"/>
      <w:r w:rsidRPr="000A5C01">
        <w:rPr>
          <w:rFonts w:ascii="Bookman Old Style" w:hAnsi="Bookman Old Style"/>
          <w:i/>
          <w:iCs/>
          <w:color w:val="000000" w:themeColor="text1"/>
        </w:rPr>
        <w:t>Syndicat</w:t>
      </w:r>
      <w:proofErr w:type="spellEnd"/>
      <w:r w:rsidRPr="000A5C01">
        <w:rPr>
          <w:rFonts w:ascii="Bookman Old Style" w:hAnsi="Bookman Old Style"/>
          <w:i/>
          <w:iCs/>
          <w:color w:val="000000" w:themeColor="text1"/>
        </w:rPr>
        <w:t xml:space="preserve"> </w:t>
      </w:r>
      <w:proofErr w:type="spellStart"/>
      <w:r w:rsidRPr="000A5C01">
        <w:rPr>
          <w:rFonts w:ascii="Bookman Old Style" w:hAnsi="Bookman Old Style"/>
          <w:i/>
          <w:iCs/>
          <w:color w:val="000000" w:themeColor="text1"/>
        </w:rPr>
        <w:t>Northcrest</w:t>
      </w:r>
      <w:proofErr w:type="spellEnd"/>
      <w:r w:rsidRPr="000A5C01">
        <w:rPr>
          <w:rFonts w:ascii="Bookman Old Style" w:hAnsi="Bookman Old Style"/>
          <w:color w:val="000000" w:themeColor="text1"/>
        </w:rPr>
        <w:t xml:space="preserve"> v </w:t>
      </w:r>
      <w:proofErr w:type="spellStart"/>
      <w:r w:rsidRPr="000A5C01">
        <w:rPr>
          <w:rFonts w:ascii="Bookman Old Style" w:hAnsi="Bookman Old Style"/>
          <w:i/>
          <w:iCs/>
          <w:color w:val="000000" w:themeColor="text1"/>
        </w:rPr>
        <w:t>Amselem</w:t>
      </w:r>
      <w:proofErr w:type="spellEnd"/>
      <w:r w:rsidRPr="000A5C01">
        <w:rPr>
          <w:rFonts w:ascii="Bookman Old Style" w:hAnsi="Bookman Old Style"/>
          <w:color w:val="000000" w:themeColor="text1"/>
        </w:rPr>
        <w:t xml:space="preserve"> [2004] 2 S.C.R. 551</w:t>
      </w:r>
      <w:r w:rsidRPr="000A5C01">
        <w:rPr>
          <w:rStyle w:val="EndnoteReference"/>
          <w:rFonts w:ascii="Bookman Old Style" w:hAnsi="Bookman Old Style"/>
          <w:color w:val="000000" w:themeColor="text1"/>
        </w:rPr>
        <w:endnoteReference w:id="9"/>
      </w:r>
      <w:r w:rsidRPr="000A5C01">
        <w:rPr>
          <w:rFonts w:ascii="Bookman Old Style" w:hAnsi="Bookman Old Style"/>
          <w:color w:val="000000" w:themeColor="text1"/>
        </w:rPr>
        <w:t xml:space="preserve"> (“</w:t>
      </w:r>
      <w:r w:rsidRPr="000A5C01">
        <w:rPr>
          <w:rFonts w:ascii="Bookman Old Style" w:hAnsi="Bookman Old Style"/>
          <w:b/>
          <w:bCs/>
          <w:color w:val="000000" w:themeColor="text1"/>
        </w:rPr>
        <w:t>Amsalem</w:t>
      </w:r>
      <w:r w:rsidRPr="000A5C01">
        <w:rPr>
          <w:rFonts w:ascii="Bookman Old Style" w:hAnsi="Bookman Old Style"/>
          <w:color w:val="000000" w:themeColor="text1"/>
        </w:rPr>
        <w:t xml:space="preserve">”) advocated freedom of religion under section 2 of the </w:t>
      </w:r>
      <w:r w:rsidRPr="000A5C01">
        <w:rPr>
          <w:rFonts w:ascii="Bookman Old Style" w:hAnsi="Bookman Old Style"/>
          <w:i/>
          <w:iCs/>
          <w:color w:val="000000" w:themeColor="text1"/>
        </w:rPr>
        <w:t>Canadian Charter of Rights and Freedoms</w:t>
      </w:r>
      <w:r w:rsidRPr="000A5C01">
        <w:rPr>
          <w:rFonts w:ascii="Bookman Old Style" w:hAnsi="Bookman Old Style"/>
          <w:color w:val="000000" w:themeColor="text1"/>
        </w:rPr>
        <w:t xml:space="preserve"> as tolerating a practice where the individual sincerely feels it is connected to religion, regardless of whether the practice is required by a religious authority. </w:t>
      </w:r>
    </w:p>
    <w:p w14:paraId="10192FFC" w14:textId="315282FB" w:rsidR="00EC1427" w:rsidRPr="000A5C01" w:rsidRDefault="00EC1427" w:rsidP="00EC1427">
      <w:pPr>
        <w:shd w:val="clear" w:color="auto" w:fill="FFFFFF"/>
        <w:jc w:val="both"/>
        <w:rPr>
          <w:rFonts w:ascii="Bookman Old Style" w:hAnsi="Bookman Old Style"/>
          <w:b/>
          <w:bCs/>
          <w:lang w:val="en-CA"/>
        </w:rPr>
      </w:pPr>
    </w:p>
    <w:p w14:paraId="4577A602" w14:textId="220D1FEB" w:rsidR="00EC1427" w:rsidRPr="000A5C01" w:rsidRDefault="008B4F78" w:rsidP="008B4F78">
      <w:pPr>
        <w:pStyle w:val="ListParagraph"/>
        <w:numPr>
          <w:ilvl w:val="0"/>
          <w:numId w:val="1"/>
        </w:numPr>
        <w:shd w:val="clear" w:color="auto" w:fill="FFFFFF"/>
        <w:ind w:left="0" w:hanging="11"/>
        <w:jc w:val="both"/>
        <w:rPr>
          <w:rFonts w:ascii="Bookman Old Style" w:hAnsi="Bookman Old Style"/>
          <w:b/>
          <w:bCs/>
          <w:lang w:val="en-CA"/>
        </w:rPr>
      </w:pPr>
      <w:r w:rsidRPr="000A5C01">
        <w:rPr>
          <w:rFonts w:ascii="Bookman Old Style" w:hAnsi="Bookman Old Style"/>
          <w:b/>
          <w:bCs/>
          <w:lang w:val="en-CA"/>
        </w:rPr>
        <w:t>Nuremberg Code</w:t>
      </w:r>
    </w:p>
    <w:p w14:paraId="6C8E405A" w14:textId="50590FF5" w:rsidR="008B4F78" w:rsidRPr="000A5C01" w:rsidRDefault="008B4F78" w:rsidP="008B4F78">
      <w:pPr>
        <w:shd w:val="clear" w:color="auto" w:fill="FFFFFF"/>
        <w:jc w:val="both"/>
        <w:rPr>
          <w:rFonts w:ascii="Bookman Old Style" w:hAnsi="Bookman Old Style"/>
          <w:b/>
          <w:bCs/>
          <w:lang w:val="en-CA"/>
        </w:rPr>
      </w:pPr>
    </w:p>
    <w:p w14:paraId="29EF5EB6" w14:textId="1F47A003" w:rsidR="008B4F78" w:rsidRPr="000A5C01" w:rsidRDefault="008B4F78" w:rsidP="008B4F78">
      <w:pPr>
        <w:shd w:val="clear" w:color="auto" w:fill="FFFFFF"/>
        <w:jc w:val="both"/>
        <w:rPr>
          <w:rFonts w:ascii="Bookman Old Style" w:hAnsi="Bookman Old Style"/>
          <w:lang w:val="en-CA"/>
        </w:rPr>
      </w:pPr>
      <w:r w:rsidRPr="000A5C01">
        <w:rPr>
          <w:rFonts w:ascii="Bookman Old Style" w:hAnsi="Bookman Old Style"/>
          <w:lang w:val="en-CA"/>
        </w:rPr>
        <w:lastRenderedPageBreak/>
        <w:t xml:space="preserve">“The voluntary consent of the human subject is </w:t>
      </w:r>
      <w:proofErr w:type="gramStart"/>
      <w:r w:rsidRPr="000A5C01">
        <w:rPr>
          <w:rFonts w:ascii="Bookman Old Style" w:hAnsi="Bookman Old Style"/>
          <w:lang w:val="en-CA"/>
        </w:rPr>
        <w:t>absolutely essential</w:t>
      </w:r>
      <w:proofErr w:type="gramEnd"/>
      <w:r w:rsidRPr="000A5C01">
        <w:rPr>
          <w:rFonts w:ascii="Bookman Old Style" w:hAnsi="Bookman Old Style"/>
          <w:lang w:val="en-CA"/>
        </w:rPr>
        <w:t>.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w:t>
      </w:r>
    </w:p>
    <w:p w14:paraId="5F112E0D" w14:textId="77777777" w:rsidR="008B4F78" w:rsidRPr="000A5C01" w:rsidRDefault="008B4F78" w:rsidP="008B4F78">
      <w:pPr>
        <w:shd w:val="clear" w:color="auto" w:fill="FFFFFF"/>
        <w:jc w:val="both"/>
        <w:rPr>
          <w:rFonts w:ascii="Bookman Old Style" w:hAnsi="Bookman Old Style"/>
          <w:lang w:val="en-CA"/>
        </w:rPr>
      </w:pPr>
    </w:p>
    <w:p w14:paraId="03C60220" w14:textId="015855CB" w:rsidR="008B4F78" w:rsidRPr="000A5C01" w:rsidRDefault="008B4F78" w:rsidP="008B4F78">
      <w:pPr>
        <w:shd w:val="clear" w:color="auto" w:fill="FFFFFF"/>
        <w:jc w:val="both"/>
        <w:rPr>
          <w:rFonts w:ascii="Bookman Old Style" w:hAnsi="Bookman Old Style"/>
          <w:lang w:val="en-CA"/>
        </w:rPr>
      </w:pPr>
      <w:r w:rsidRPr="000A5C01">
        <w:rPr>
          <w:rFonts w:ascii="Bookman Old Style" w:hAnsi="Bookman Old Style"/>
          <w:lang w:val="en-CA"/>
        </w:rPr>
        <w:t xml:space="preserve">The above would imply that regardless of personal vaccination status, history rightfully frowns upon any situation where a health procedure is mandated accompanied by "any element of force, fraud, deceit, duress, overreaching, or other ulterior form of constraint or coercion". Unfortunately, to mandate that individuals are either vaccinated or they must suffer some serious penalty is coercion. Serious penalties may include </w:t>
      </w:r>
      <w:r w:rsidR="007D4A15" w:rsidRPr="000A5C01">
        <w:rPr>
          <w:rFonts w:ascii="Bookman Old Style" w:hAnsi="Bookman Old Style"/>
          <w:lang w:val="en-CA"/>
        </w:rPr>
        <w:t xml:space="preserve">personal cost for evaluative testing to determine health status, </w:t>
      </w:r>
      <w:r w:rsidRPr="000A5C01">
        <w:rPr>
          <w:rFonts w:ascii="Bookman Old Style" w:hAnsi="Bookman Old Style"/>
          <w:lang w:val="en-CA"/>
        </w:rPr>
        <w:t>being restricted from daily activities</w:t>
      </w:r>
      <w:r w:rsidR="007D4A15" w:rsidRPr="000A5C01">
        <w:rPr>
          <w:rFonts w:ascii="Bookman Old Style" w:hAnsi="Bookman Old Style"/>
          <w:lang w:val="en-CA"/>
        </w:rPr>
        <w:t xml:space="preserve">, </w:t>
      </w:r>
      <w:r w:rsidRPr="000A5C01">
        <w:rPr>
          <w:rFonts w:ascii="Bookman Old Style" w:hAnsi="Bookman Old Style"/>
          <w:lang w:val="en-CA"/>
        </w:rPr>
        <w:t xml:space="preserve">participation in society, </w:t>
      </w:r>
      <w:r w:rsidR="007D4A15" w:rsidRPr="000A5C01">
        <w:rPr>
          <w:rFonts w:ascii="Bookman Old Style" w:hAnsi="Bookman Old Style"/>
          <w:lang w:val="en-CA"/>
        </w:rPr>
        <w:t xml:space="preserve">and </w:t>
      </w:r>
      <w:r w:rsidRPr="000A5C01">
        <w:rPr>
          <w:rFonts w:ascii="Bookman Old Style" w:hAnsi="Bookman Old Style"/>
          <w:lang w:val="en-CA"/>
        </w:rPr>
        <w:t xml:space="preserve">having to choose between education or employment and sincerely held conscientious or religious beliefs. </w:t>
      </w:r>
      <w:r w:rsidR="007D4A15" w:rsidRPr="000A5C01">
        <w:rPr>
          <w:rFonts w:ascii="Bookman Old Style" w:hAnsi="Bookman Old Style"/>
          <w:lang w:val="en-CA"/>
        </w:rPr>
        <w:t xml:space="preserve">These are all coercive mechanisms enforced upon </w:t>
      </w:r>
      <w:r w:rsidR="007D4A15" w:rsidRPr="000A5C01">
        <w:rPr>
          <w:rFonts w:ascii="Bookman Old Style" w:hAnsi="Bookman Old Style"/>
          <w:b/>
          <w:bCs/>
          <w:lang w:val="en-CA"/>
        </w:rPr>
        <w:t>h e a l t h y</w:t>
      </w:r>
      <w:r w:rsidR="007D4A15" w:rsidRPr="000A5C01">
        <w:rPr>
          <w:rFonts w:ascii="Bookman Old Style" w:hAnsi="Bookman Old Style"/>
          <w:lang w:val="en-CA"/>
        </w:rPr>
        <w:t xml:space="preserve"> people. </w:t>
      </w:r>
    </w:p>
    <w:p w14:paraId="46E626DD" w14:textId="066DC9A6" w:rsidR="008B4F78" w:rsidRPr="000A5C01" w:rsidRDefault="008B4F78" w:rsidP="008B4F78">
      <w:pPr>
        <w:shd w:val="clear" w:color="auto" w:fill="FFFFFF"/>
        <w:jc w:val="both"/>
        <w:rPr>
          <w:rFonts w:ascii="Bookman Old Style" w:hAnsi="Bookman Old Style"/>
          <w:lang w:val="en-CA"/>
        </w:rPr>
      </w:pPr>
    </w:p>
    <w:p w14:paraId="3CDDA538" w14:textId="225B27E0" w:rsidR="008B4F78" w:rsidRPr="000A5C01" w:rsidRDefault="008B4F78" w:rsidP="008B4F78">
      <w:pPr>
        <w:pStyle w:val="ListParagraph"/>
        <w:numPr>
          <w:ilvl w:val="0"/>
          <w:numId w:val="1"/>
        </w:numPr>
        <w:shd w:val="clear" w:color="auto" w:fill="FFFFFF"/>
        <w:ind w:left="0" w:hanging="11"/>
        <w:jc w:val="both"/>
        <w:rPr>
          <w:rFonts w:ascii="Bookman Old Style" w:hAnsi="Bookman Old Style"/>
          <w:b/>
          <w:bCs/>
          <w:lang w:val="en-CA"/>
        </w:rPr>
      </w:pPr>
      <w:r w:rsidRPr="000A5C01">
        <w:rPr>
          <w:rFonts w:ascii="Bookman Old Style" w:hAnsi="Bookman Old Style"/>
          <w:b/>
          <w:bCs/>
          <w:lang w:val="en-CA"/>
        </w:rPr>
        <w:t>Employment Contract</w:t>
      </w:r>
    </w:p>
    <w:p w14:paraId="1E158B47" w14:textId="77777777" w:rsidR="008B4F78" w:rsidRPr="000A5C01" w:rsidRDefault="008B4F78" w:rsidP="008B4F78">
      <w:pPr>
        <w:pStyle w:val="ListParagraph"/>
        <w:shd w:val="clear" w:color="auto" w:fill="FFFFFF"/>
        <w:ind w:left="0"/>
        <w:jc w:val="both"/>
        <w:rPr>
          <w:rFonts w:ascii="Bookman Old Style" w:hAnsi="Bookman Old Style"/>
          <w:b/>
          <w:bCs/>
          <w:lang w:val="en-CA"/>
        </w:rPr>
      </w:pPr>
    </w:p>
    <w:p w14:paraId="207DD3C2" w14:textId="14663144" w:rsidR="008B4F78" w:rsidRPr="000A5C01" w:rsidRDefault="008B4F78" w:rsidP="008B4F78">
      <w:pPr>
        <w:shd w:val="clear" w:color="auto" w:fill="FFFFFF"/>
        <w:jc w:val="both"/>
        <w:rPr>
          <w:rFonts w:ascii="Bookman Old Style" w:hAnsi="Bookman Old Style"/>
          <w:lang w:val="en-CA"/>
        </w:rPr>
      </w:pPr>
      <w:r w:rsidRPr="000A5C01">
        <w:rPr>
          <w:rFonts w:ascii="Bookman Old Style" w:hAnsi="Bookman Old Style"/>
          <w:lang w:val="en-CA"/>
        </w:rPr>
        <w:t xml:space="preserve">Please take out your employment contract and look for any clauses that protect you from mandated vaccines.  Further, look to see if your contract is subject to vaccines.  If not, then declining the vaccine cannot be grounds for termination. </w:t>
      </w:r>
    </w:p>
    <w:p w14:paraId="7C36E962" w14:textId="61A44C1C" w:rsidR="00DF3A3A" w:rsidRPr="000A5C01" w:rsidRDefault="00DF3A3A" w:rsidP="008B4F78">
      <w:pPr>
        <w:pStyle w:val="ListParagraph"/>
        <w:shd w:val="clear" w:color="auto" w:fill="FFFFFF"/>
        <w:ind w:left="0"/>
        <w:jc w:val="both"/>
        <w:rPr>
          <w:rFonts w:ascii="Bookman Old Style" w:hAnsi="Bookman Old Style"/>
          <w:lang w:val="en-CA"/>
        </w:rPr>
      </w:pPr>
    </w:p>
    <w:p w14:paraId="2A16FE07" w14:textId="4F1C11C8" w:rsidR="00DF3A3A" w:rsidRPr="000A5C01" w:rsidRDefault="00DF3A3A" w:rsidP="00DF3A3A">
      <w:pPr>
        <w:pStyle w:val="ListParagraph"/>
        <w:numPr>
          <w:ilvl w:val="0"/>
          <w:numId w:val="1"/>
        </w:numPr>
        <w:shd w:val="clear" w:color="auto" w:fill="FFFFFF"/>
        <w:ind w:left="0" w:hanging="11"/>
        <w:jc w:val="both"/>
        <w:rPr>
          <w:rFonts w:ascii="Bookman Old Style" w:hAnsi="Bookman Old Style"/>
          <w:b/>
          <w:bCs/>
          <w:lang w:val="en-CA"/>
        </w:rPr>
      </w:pPr>
      <w:r w:rsidRPr="000A5C01">
        <w:rPr>
          <w:rFonts w:ascii="Bookman Old Style" w:hAnsi="Bookman Old Style"/>
          <w:b/>
          <w:bCs/>
          <w:lang w:val="en-CA"/>
        </w:rPr>
        <w:t xml:space="preserve">Personalize your letter </w:t>
      </w:r>
    </w:p>
    <w:p w14:paraId="02E30B30" w14:textId="77777777" w:rsidR="00DF3A3A" w:rsidRPr="000A5C01" w:rsidRDefault="00DF3A3A" w:rsidP="00DF3A3A">
      <w:pPr>
        <w:pStyle w:val="ListParagraph"/>
        <w:shd w:val="clear" w:color="auto" w:fill="FFFFFF"/>
        <w:ind w:left="0"/>
        <w:jc w:val="both"/>
        <w:rPr>
          <w:rFonts w:ascii="Bookman Old Style" w:hAnsi="Bookman Old Style"/>
          <w:b/>
          <w:bCs/>
          <w:lang w:val="en-CA"/>
        </w:rPr>
      </w:pPr>
    </w:p>
    <w:p w14:paraId="6DBF9AC2" w14:textId="4914D05B" w:rsidR="00136516" w:rsidRPr="000A5C01" w:rsidRDefault="007D4A15" w:rsidP="00DF3A3A">
      <w:pPr>
        <w:pStyle w:val="ListParagraph"/>
        <w:shd w:val="clear" w:color="auto" w:fill="FFFFFF"/>
        <w:ind w:left="0"/>
        <w:jc w:val="both"/>
        <w:rPr>
          <w:rFonts w:ascii="Bookman Old Style" w:hAnsi="Bookman Old Style"/>
          <w:lang w:val="en-CA"/>
        </w:rPr>
      </w:pPr>
      <w:r w:rsidRPr="000A5C01">
        <w:rPr>
          <w:rFonts w:ascii="Bookman Old Style" w:hAnsi="Bookman Old Style"/>
          <w:lang w:val="en-CA"/>
        </w:rPr>
        <w:t xml:space="preserve">Through personal narrative explain how your convictions </w:t>
      </w:r>
      <w:r w:rsidR="00026079" w:rsidRPr="000A5C01">
        <w:rPr>
          <w:rFonts w:ascii="Bookman Old Style" w:hAnsi="Bookman Old Style"/>
          <w:lang w:val="en-CA"/>
        </w:rPr>
        <w:t>shape the</w:t>
      </w:r>
      <w:r w:rsidRPr="000A5C01">
        <w:rPr>
          <w:rFonts w:ascii="Bookman Old Style" w:hAnsi="Bookman Old Style"/>
          <w:lang w:val="en-CA"/>
        </w:rPr>
        <w:t xml:space="preserve"> deci</w:t>
      </w:r>
      <w:r w:rsidR="00026079" w:rsidRPr="000A5C01">
        <w:rPr>
          <w:rFonts w:ascii="Bookman Old Style" w:hAnsi="Bookman Old Style"/>
          <w:lang w:val="en-CA"/>
        </w:rPr>
        <w:t>sions and</w:t>
      </w:r>
      <w:r w:rsidRPr="000A5C01">
        <w:rPr>
          <w:rFonts w:ascii="Bookman Old Style" w:hAnsi="Bookman Old Style"/>
          <w:lang w:val="en-CA"/>
        </w:rPr>
        <w:t xml:space="preserve"> practices </w:t>
      </w:r>
      <w:r w:rsidR="00026079" w:rsidRPr="000A5C01">
        <w:rPr>
          <w:rFonts w:ascii="Bookman Old Style" w:hAnsi="Bookman Old Style"/>
          <w:lang w:val="en-CA"/>
        </w:rPr>
        <w:t xml:space="preserve">in </w:t>
      </w:r>
      <w:r w:rsidRPr="000A5C01">
        <w:rPr>
          <w:rFonts w:ascii="Bookman Old Style" w:hAnsi="Bookman Old Style"/>
          <w:lang w:val="en-CA"/>
        </w:rPr>
        <w:t>you</w:t>
      </w:r>
      <w:r w:rsidR="00026079" w:rsidRPr="000A5C01">
        <w:rPr>
          <w:rFonts w:ascii="Bookman Old Style" w:hAnsi="Bookman Old Style"/>
          <w:lang w:val="en-CA"/>
        </w:rPr>
        <w:t>r</w:t>
      </w:r>
      <w:r w:rsidRPr="000A5C01">
        <w:rPr>
          <w:rFonts w:ascii="Bookman Old Style" w:hAnsi="Bookman Old Style"/>
          <w:lang w:val="en-CA"/>
        </w:rPr>
        <w:t xml:space="preserve"> </w:t>
      </w:r>
      <w:r w:rsidR="00026079" w:rsidRPr="000A5C01">
        <w:rPr>
          <w:rFonts w:ascii="Bookman Old Style" w:hAnsi="Bookman Old Style"/>
          <w:lang w:val="en-CA"/>
        </w:rPr>
        <w:t xml:space="preserve">daily </w:t>
      </w:r>
      <w:r w:rsidRPr="000A5C01">
        <w:rPr>
          <w:rFonts w:ascii="Bookman Old Style" w:hAnsi="Bookman Old Style"/>
          <w:lang w:val="en-CA"/>
        </w:rPr>
        <w:t>li</w:t>
      </w:r>
      <w:r w:rsidR="00026079" w:rsidRPr="000A5C01">
        <w:rPr>
          <w:rFonts w:ascii="Bookman Old Style" w:hAnsi="Bookman Old Style"/>
          <w:lang w:val="en-CA"/>
        </w:rPr>
        <w:t>fe</w:t>
      </w:r>
      <w:r w:rsidR="008D460A" w:rsidRPr="000A5C01">
        <w:rPr>
          <w:rFonts w:ascii="Bookman Old Style" w:hAnsi="Bookman Old Style"/>
          <w:lang w:val="en-CA"/>
        </w:rPr>
        <w:t xml:space="preserve">. </w:t>
      </w:r>
    </w:p>
    <w:p w14:paraId="5B3F2347" w14:textId="77777777" w:rsidR="00DF3A3A" w:rsidRPr="000A5C01" w:rsidRDefault="00DF3A3A" w:rsidP="00DF3A3A">
      <w:pPr>
        <w:shd w:val="clear" w:color="auto" w:fill="FFFFFF"/>
        <w:jc w:val="both"/>
        <w:rPr>
          <w:rFonts w:ascii="Bookman Old Style" w:hAnsi="Bookman Old Style"/>
          <w:lang w:val="en-CA"/>
        </w:rPr>
      </w:pPr>
    </w:p>
    <w:p w14:paraId="20394438" w14:textId="77777777" w:rsidR="00DF3A3A" w:rsidRPr="000A5C01" w:rsidRDefault="00DF3A3A" w:rsidP="00DF3A3A">
      <w:pPr>
        <w:pStyle w:val="ListParagraph"/>
        <w:numPr>
          <w:ilvl w:val="0"/>
          <w:numId w:val="1"/>
        </w:numPr>
        <w:shd w:val="clear" w:color="auto" w:fill="FFFFFF"/>
        <w:ind w:left="0" w:hanging="11"/>
        <w:jc w:val="both"/>
        <w:rPr>
          <w:rFonts w:ascii="Bookman Old Style" w:hAnsi="Bookman Old Style"/>
          <w:lang w:val="en-CA"/>
        </w:rPr>
      </w:pPr>
      <w:r w:rsidRPr="000A5C01">
        <w:rPr>
          <w:rFonts w:ascii="Bookman Old Style" w:hAnsi="Bookman Old Style"/>
          <w:b/>
          <w:bCs/>
          <w:lang w:val="en-CA"/>
        </w:rPr>
        <w:t>Legal opinions</w:t>
      </w:r>
      <w:r w:rsidRPr="000A5C01">
        <w:rPr>
          <w:rFonts w:ascii="Bookman Old Style" w:hAnsi="Bookman Old Style"/>
          <w:lang w:val="en-CA"/>
        </w:rPr>
        <w:t xml:space="preserve"> </w:t>
      </w:r>
    </w:p>
    <w:p w14:paraId="4FFAE19F" w14:textId="77777777" w:rsidR="00DF3A3A" w:rsidRPr="000A5C01" w:rsidRDefault="00DF3A3A" w:rsidP="00DF3A3A">
      <w:pPr>
        <w:pStyle w:val="ListParagraph"/>
        <w:shd w:val="clear" w:color="auto" w:fill="FFFFFF"/>
        <w:ind w:left="0"/>
        <w:jc w:val="both"/>
        <w:rPr>
          <w:rFonts w:ascii="Bookman Old Style" w:hAnsi="Bookman Old Style"/>
          <w:b/>
          <w:bCs/>
          <w:lang w:val="en-CA"/>
        </w:rPr>
      </w:pPr>
    </w:p>
    <w:p w14:paraId="10EC1CE1" w14:textId="507A391F" w:rsidR="00026079" w:rsidRPr="000A5C01" w:rsidRDefault="00026079" w:rsidP="008D460A">
      <w:pPr>
        <w:pStyle w:val="ListParagraph"/>
        <w:shd w:val="clear" w:color="auto" w:fill="FFFFFF"/>
        <w:ind w:left="0"/>
        <w:jc w:val="both"/>
        <w:rPr>
          <w:rFonts w:ascii="Bookman Old Style" w:hAnsi="Bookman Old Style"/>
          <w:lang w:val="en-CA"/>
        </w:rPr>
      </w:pPr>
      <w:r w:rsidRPr="000A5C01">
        <w:rPr>
          <w:rFonts w:ascii="Bookman Old Style" w:hAnsi="Bookman Old Style"/>
          <w:lang w:val="en-CA"/>
        </w:rPr>
        <w:t xml:space="preserve">While government emergency measures supersede contracts, we are not aware </w:t>
      </w:r>
      <w:r w:rsidR="00DF3A3A" w:rsidRPr="000A5C01">
        <w:rPr>
          <w:rFonts w:ascii="Bookman Old Style" w:hAnsi="Bookman Old Style"/>
          <w:lang w:val="en-CA"/>
        </w:rPr>
        <w:t>of any mention</w:t>
      </w:r>
      <w:r w:rsidRPr="000A5C01">
        <w:rPr>
          <w:rFonts w:ascii="Bookman Old Style" w:hAnsi="Bookman Old Style"/>
          <w:lang w:val="en-CA"/>
        </w:rPr>
        <w:t xml:space="preserve"> of</w:t>
      </w:r>
      <w:r w:rsidR="00DF3A3A" w:rsidRPr="000A5C01">
        <w:rPr>
          <w:rFonts w:ascii="Bookman Old Style" w:hAnsi="Bookman Old Style"/>
          <w:lang w:val="en-CA"/>
        </w:rPr>
        <w:t xml:space="preserve"> </w:t>
      </w:r>
      <w:r w:rsidR="00B84BC2" w:rsidRPr="000A5C01">
        <w:rPr>
          <w:rFonts w:ascii="Bookman Old Style" w:hAnsi="Bookman Old Style"/>
          <w:lang w:val="en-CA"/>
        </w:rPr>
        <w:t xml:space="preserve">the right </w:t>
      </w:r>
      <w:r w:rsidR="00595A38" w:rsidRPr="000A5C01">
        <w:rPr>
          <w:rFonts w:ascii="Bookman Old Style" w:hAnsi="Bookman Old Style"/>
          <w:lang w:val="en-CA"/>
        </w:rPr>
        <w:t xml:space="preserve">of employers </w:t>
      </w:r>
      <w:r w:rsidR="00B84BC2" w:rsidRPr="000A5C01">
        <w:rPr>
          <w:rFonts w:ascii="Bookman Old Style" w:hAnsi="Bookman Old Style"/>
          <w:lang w:val="en-CA"/>
        </w:rPr>
        <w:t xml:space="preserve">to </w:t>
      </w:r>
      <w:r w:rsidR="00DF3A3A" w:rsidRPr="000A5C01">
        <w:rPr>
          <w:rFonts w:ascii="Bookman Old Style" w:hAnsi="Bookman Old Style"/>
          <w:lang w:val="en-CA"/>
        </w:rPr>
        <w:t>terminat</w:t>
      </w:r>
      <w:r w:rsidR="00595A38" w:rsidRPr="000A5C01">
        <w:rPr>
          <w:rFonts w:ascii="Bookman Old Style" w:hAnsi="Bookman Old Style"/>
          <w:lang w:val="en-CA"/>
        </w:rPr>
        <w:t>e</w:t>
      </w:r>
      <w:r w:rsidRPr="000A5C01">
        <w:rPr>
          <w:rFonts w:ascii="Bookman Old Style" w:hAnsi="Bookman Old Style"/>
          <w:lang w:val="en-CA"/>
        </w:rPr>
        <w:t xml:space="preserve"> </w:t>
      </w:r>
      <w:r w:rsidR="00595A38" w:rsidRPr="000A5C01">
        <w:rPr>
          <w:rFonts w:ascii="Bookman Old Style" w:hAnsi="Bookman Old Style"/>
          <w:lang w:val="en-CA"/>
        </w:rPr>
        <w:t xml:space="preserve">employees </w:t>
      </w:r>
      <w:r w:rsidR="00B84BC2" w:rsidRPr="000A5C01">
        <w:rPr>
          <w:rFonts w:ascii="Bookman Old Style" w:hAnsi="Bookman Old Style"/>
          <w:lang w:val="en-CA"/>
        </w:rPr>
        <w:t xml:space="preserve">or </w:t>
      </w:r>
      <w:r w:rsidR="00595A38" w:rsidRPr="000A5C01">
        <w:rPr>
          <w:rFonts w:ascii="Bookman Old Style" w:hAnsi="Bookman Old Style"/>
          <w:lang w:val="en-CA"/>
        </w:rPr>
        <w:t xml:space="preserve">to put employees on an unpaid </w:t>
      </w:r>
      <w:r w:rsidR="00B84BC2" w:rsidRPr="000A5C01">
        <w:rPr>
          <w:rFonts w:ascii="Bookman Old Style" w:hAnsi="Bookman Old Style"/>
          <w:lang w:val="en-CA"/>
        </w:rPr>
        <w:t>leave of absence</w:t>
      </w:r>
      <w:r w:rsidR="00DF3A3A" w:rsidRPr="000A5C01">
        <w:rPr>
          <w:rFonts w:ascii="Bookman Old Style" w:hAnsi="Bookman Old Style"/>
          <w:lang w:val="en-CA"/>
        </w:rPr>
        <w:t xml:space="preserve">. </w:t>
      </w:r>
      <w:r w:rsidRPr="000A5C01">
        <w:rPr>
          <w:rFonts w:ascii="Bookman Old Style" w:hAnsi="Bookman Old Style"/>
          <w:lang w:val="en-CA"/>
        </w:rPr>
        <w:t>Rather they have set out terms and conditions for accommodation</w:t>
      </w:r>
      <w:r w:rsidR="00595A38" w:rsidRPr="000A5C01">
        <w:rPr>
          <w:rFonts w:ascii="Bookman Old Style" w:hAnsi="Bookman Old Style"/>
          <w:lang w:val="en-CA"/>
        </w:rPr>
        <w:t xml:space="preserve"> and continued paid employment</w:t>
      </w:r>
      <w:r w:rsidRPr="000A5C01">
        <w:rPr>
          <w:rFonts w:ascii="Bookman Old Style" w:hAnsi="Bookman Old Style"/>
          <w:lang w:val="en-CA"/>
        </w:rPr>
        <w:t>.</w:t>
      </w:r>
    </w:p>
    <w:p w14:paraId="68650C3A" w14:textId="0792E989" w:rsidR="00136516" w:rsidRPr="000A5C01" w:rsidRDefault="00136516" w:rsidP="00DF3A3A">
      <w:pPr>
        <w:pStyle w:val="ListParagraph"/>
        <w:shd w:val="clear" w:color="auto" w:fill="FFFFFF"/>
        <w:ind w:left="0"/>
        <w:jc w:val="both"/>
        <w:rPr>
          <w:rFonts w:ascii="Bookman Old Style" w:hAnsi="Bookman Old Style"/>
          <w:lang w:val="en-CA"/>
        </w:rPr>
      </w:pPr>
    </w:p>
    <w:p w14:paraId="681D1D7F" w14:textId="0692BAA2" w:rsidR="002B6057" w:rsidRDefault="002B6057" w:rsidP="00136516">
      <w:pPr>
        <w:pStyle w:val="ListParagraph"/>
        <w:numPr>
          <w:ilvl w:val="0"/>
          <w:numId w:val="1"/>
        </w:numPr>
        <w:shd w:val="clear" w:color="auto" w:fill="FFFFFF"/>
        <w:ind w:left="0" w:hanging="11"/>
        <w:jc w:val="both"/>
        <w:rPr>
          <w:rFonts w:ascii="Bookman Old Style" w:hAnsi="Bookman Old Style"/>
          <w:b/>
          <w:bCs/>
          <w:lang w:val="en-CA"/>
        </w:rPr>
      </w:pPr>
      <w:r>
        <w:rPr>
          <w:rFonts w:ascii="Bookman Old Style" w:hAnsi="Bookman Old Style"/>
          <w:b/>
          <w:bCs/>
          <w:lang w:val="en-CA"/>
        </w:rPr>
        <w:t>Medical Exemptions</w:t>
      </w:r>
    </w:p>
    <w:p w14:paraId="460E95FE" w14:textId="0A3D6DD6" w:rsidR="002B6057" w:rsidRDefault="002B6057" w:rsidP="002B6057">
      <w:pPr>
        <w:pStyle w:val="ListParagraph"/>
        <w:shd w:val="clear" w:color="auto" w:fill="FFFFFF"/>
        <w:ind w:left="0"/>
        <w:jc w:val="both"/>
        <w:rPr>
          <w:rFonts w:ascii="Bookman Old Style" w:hAnsi="Bookman Old Style"/>
          <w:lang w:val="en-CA"/>
        </w:rPr>
      </w:pPr>
      <w:r>
        <w:rPr>
          <w:rFonts w:ascii="Bookman Old Style" w:hAnsi="Bookman Old Style"/>
          <w:lang w:val="en-CA"/>
        </w:rPr>
        <w:t xml:space="preserve">These are proving very hard to get. Ask your physician or a nurse to write an exemption for you.  If they are not able to do so, then ask for a copy of your medical file so that you can provide documentation of your medical condition to your employer as supporting evidence of your concerns for your physical safety.  </w:t>
      </w:r>
    </w:p>
    <w:p w14:paraId="075FA6AA" w14:textId="1A897953" w:rsidR="002B6057" w:rsidRPr="002B6057" w:rsidRDefault="002B6057" w:rsidP="002B6057">
      <w:pPr>
        <w:pStyle w:val="ListParagraph"/>
        <w:shd w:val="clear" w:color="auto" w:fill="FFFFFF"/>
        <w:tabs>
          <w:tab w:val="left" w:pos="6017"/>
        </w:tabs>
        <w:ind w:left="0"/>
        <w:jc w:val="both"/>
        <w:rPr>
          <w:rFonts w:ascii="Bookman Old Style" w:hAnsi="Bookman Old Style"/>
          <w:lang w:val="en-CA"/>
        </w:rPr>
      </w:pPr>
    </w:p>
    <w:p w14:paraId="2A15E5CB" w14:textId="14D5C617" w:rsidR="00136516" w:rsidRPr="000A5C01" w:rsidRDefault="00136516" w:rsidP="00136516">
      <w:pPr>
        <w:pStyle w:val="ListParagraph"/>
        <w:numPr>
          <w:ilvl w:val="0"/>
          <w:numId w:val="1"/>
        </w:numPr>
        <w:shd w:val="clear" w:color="auto" w:fill="FFFFFF"/>
        <w:ind w:left="0" w:hanging="11"/>
        <w:jc w:val="both"/>
        <w:rPr>
          <w:rFonts w:ascii="Bookman Old Style" w:hAnsi="Bookman Old Style"/>
          <w:b/>
          <w:bCs/>
          <w:lang w:val="en-CA"/>
        </w:rPr>
      </w:pPr>
      <w:r w:rsidRPr="000A5C01">
        <w:rPr>
          <w:rFonts w:ascii="Bookman Old Style" w:hAnsi="Bookman Old Style"/>
          <w:b/>
          <w:bCs/>
          <w:lang w:val="en-CA"/>
        </w:rPr>
        <w:t>Do not quit</w:t>
      </w:r>
      <w:r w:rsidR="0032789C" w:rsidRPr="000A5C01">
        <w:rPr>
          <w:rFonts w:ascii="Bookman Old Style" w:hAnsi="Bookman Old Style"/>
          <w:b/>
          <w:bCs/>
          <w:lang w:val="en-CA"/>
        </w:rPr>
        <w:t>,</w:t>
      </w:r>
      <w:r w:rsidRPr="000A5C01">
        <w:rPr>
          <w:rFonts w:ascii="Bookman Old Style" w:hAnsi="Bookman Old Style"/>
          <w:b/>
          <w:bCs/>
          <w:lang w:val="en-CA"/>
        </w:rPr>
        <w:t xml:space="preserve"> </w:t>
      </w:r>
      <w:r w:rsidR="0032789C" w:rsidRPr="000A5C01">
        <w:rPr>
          <w:rFonts w:ascii="Bookman Old Style" w:hAnsi="Bookman Old Style"/>
          <w:b/>
          <w:bCs/>
          <w:lang w:val="en-CA"/>
        </w:rPr>
        <w:t>u</w:t>
      </w:r>
      <w:r w:rsidRPr="000A5C01">
        <w:rPr>
          <w:rFonts w:ascii="Bookman Old Style" w:hAnsi="Bookman Old Style"/>
          <w:b/>
          <w:bCs/>
          <w:lang w:val="en-CA"/>
        </w:rPr>
        <w:t>nless you have another job offer that protects your conscientious beliefs</w:t>
      </w:r>
      <w:r w:rsidR="00026079" w:rsidRPr="000A5C01">
        <w:rPr>
          <w:rFonts w:ascii="Bookman Old Style" w:hAnsi="Bookman Old Style"/>
          <w:b/>
          <w:bCs/>
          <w:lang w:val="en-CA"/>
        </w:rPr>
        <w:t>. W</w:t>
      </w:r>
      <w:r w:rsidRPr="000A5C01">
        <w:rPr>
          <w:rFonts w:ascii="Bookman Old Style" w:hAnsi="Bookman Old Style"/>
          <w:b/>
          <w:bCs/>
          <w:lang w:val="en-CA"/>
        </w:rPr>
        <w:t>ait to be terminated</w:t>
      </w:r>
      <w:r w:rsidR="00595A38" w:rsidRPr="000A5C01">
        <w:rPr>
          <w:rFonts w:ascii="Bookman Old Style" w:hAnsi="Bookman Old Style"/>
          <w:b/>
          <w:bCs/>
          <w:lang w:val="en-CA"/>
        </w:rPr>
        <w:t xml:space="preserve"> or put on unpaid leave of absence</w:t>
      </w:r>
      <w:r w:rsidRPr="000A5C01">
        <w:rPr>
          <w:rFonts w:ascii="Bookman Old Style" w:hAnsi="Bookman Old Style"/>
          <w:b/>
          <w:bCs/>
          <w:lang w:val="en-CA"/>
        </w:rPr>
        <w:t xml:space="preserve">. </w:t>
      </w:r>
    </w:p>
    <w:p w14:paraId="0C02B512" w14:textId="0378169F" w:rsidR="008B4F78" w:rsidRPr="000A5C01" w:rsidRDefault="008B4F78" w:rsidP="008B4F78">
      <w:pPr>
        <w:pStyle w:val="ListParagraph"/>
        <w:shd w:val="clear" w:color="auto" w:fill="FFFFFF"/>
        <w:ind w:left="0"/>
        <w:jc w:val="both"/>
        <w:rPr>
          <w:rFonts w:ascii="Bookman Old Style" w:hAnsi="Bookman Old Style"/>
          <w:b/>
          <w:bCs/>
          <w:lang w:val="en-CA"/>
        </w:rPr>
      </w:pPr>
    </w:p>
    <w:p w14:paraId="2A627A7E" w14:textId="40601665" w:rsidR="000A5C01" w:rsidRPr="000A5C01" w:rsidRDefault="000A5C01" w:rsidP="000A5C01">
      <w:pPr>
        <w:pStyle w:val="NormalWeb"/>
        <w:jc w:val="both"/>
        <w:rPr>
          <w:rFonts w:ascii="Bookman Old Style" w:hAnsi="Bookman Old Style"/>
          <w:sz w:val="18"/>
          <w:szCs w:val="18"/>
        </w:rPr>
      </w:pPr>
      <w:r w:rsidRPr="000A5C01">
        <w:rPr>
          <w:rFonts w:ascii="Bookman Old Style" w:hAnsi="Bookman Old Style"/>
          <w:sz w:val="18"/>
          <w:szCs w:val="18"/>
        </w:rPr>
        <w:t xml:space="preserve">Disclaimer: The information provided </w:t>
      </w:r>
      <w:r>
        <w:rPr>
          <w:rFonts w:ascii="Bookman Old Style" w:hAnsi="Bookman Old Style"/>
          <w:sz w:val="18"/>
          <w:szCs w:val="18"/>
        </w:rPr>
        <w:t>i</w:t>
      </w:r>
      <w:r w:rsidRPr="000A5C01">
        <w:rPr>
          <w:rFonts w:ascii="Bookman Old Style" w:hAnsi="Bookman Old Style"/>
          <w:sz w:val="18"/>
          <w:szCs w:val="18"/>
        </w:rPr>
        <w:t xml:space="preserve">n this </w:t>
      </w:r>
      <w:r>
        <w:rPr>
          <w:rFonts w:ascii="Bookman Old Style" w:hAnsi="Bookman Old Style"/>
          <w:sz w:val="18"/>
          <w:szCs w:val="18"/>
        </w:rPr>
        <w:t>document</w:t>
      </w:r>
      <w:r w:rsidRPr="000A5C01">
        <w:rPr>
          <w:rFonts w:ascii="Bookman Old Style" w:hAnsi="Bookman Old Style"/>
          <w:sz w:val="18"/>
          <w:szCs w:val="18"/>
        </w:rPr>
        <w:t xml:space="preserve"> does not, and is not intended to, constitute legal advice; instead, all information, content, and materials available </w:t>
      </w:r>
      <w:r>
        <w:rPr>
          <w:rFonts w:ascii="Bookman Old Style" w:hAnsi="Bookman Old Style"/>
          <w:sz w:val="18"/>
          <w:szCs w:val="18"/>
        </w:rPr>
        <w:t>i</w:t>
      </w:r>
      <w:r w:rsidRPr="000A5C01">
        <w:rPr>
          <w:rFonts w:ascii="Bookman Old Style" w:hAnsi="Bookman Old Style"/>
          <w:sz w:val="18"/>
          <w:szCs w:val="18"/>
        </w:rPr>
        <w:t xml:space="preserve">n this </w:t>
      </w:r>
      <w:r>
        <w:rPr>
          <w:rFonts w:ascii="Bookman Old Style" w:hAnsi="Bookman Old Style"/>
          <w:sz w:val="18"/>
          <w:szCs w:val="18"/>
        </w:rPr>
        <w:t>document</w:t>
      </w:r>
      <w:r w:rsidRPr="000A5C01">
        <w:rPr>
          <w:rFonts w:ascii="Bookman Old Style" w:hAnsi="Bookman Old Style"/>
          <w:sz w:val="18"/>
          <w:szCs w:val="18"/>
        </w:rPr>
        <w:t xml:space="preserve"> are for general informational purposes only.  Information </w:t>
      </w:r>
      <w:r>
        <w:rPr>
          <w:rFonts w:ascii="Bookman Old Style" w:hAnsi="Bookman Old Style"/>
          <w:sz w:val="18"/>
          <w:szCs w:val="18"/>
        </w:rPr>
        <w:t>i</w:t>
      </w:r>
      <w:r w:rsidRPr="000A5C01">
        <w:rPr>
          <w:rFonts w:ascii="Bookman Old Style" w:hAnsi="Bookman Old Style"/>
          <w:sz w:val="18"/>
          <w:szCs w:val="18"/>
        </w:rPr>
        <w:t xml:space="preserve">n this </w:t>
      </w:r>
      <w:r>
        <w:rPr>
          <w:rFonts w:ascii="Bookman Old Style" w:hAnsi="Bookman Old Style"/>
          <w:sz w:val="18"/>
          <w:szCs w:val="18"/>
        </w:rPr>
        <w:t>doument</w:t>
      </w:r>
      <w:r w:rsidRPr="000A5C01">
        <w:rPr>
          <w:rFonts w:ascii="Bookman Old Style" w:hAnsi="Bookman Old Style"/>
          <w:sz w:val="18"/>
          <w:szCs w:val="18"/>
        </w:rPr>
        <w:t xml:space="preserve"> may not constitute the most up-to-date legal or other information.  This </w:t>
      </w:r>
      <w:r>
        <w:rPr>
          <w:rFonts w:ascii="Bookman Old Style" w:hAnsi="Bookman Old Style"/>
          <w:sz w:val="18"/>
          <w:szCs w:val="18"/>
        </w:rPr>
        <w:t>document</w:t>
      </w:r>
      <w:r w:rsidRPr="000A5C01">
        <w:rPr>
          <w:rFonts w:ascii="Bookman Old Style" w:hAnsi="Bookman Old Style"/>
          <w:sz w:val="18"/>
          <w:szCs w:val="18"/>
        </w:rPr>
        <w:t xml:space="preserve"> contains links to other third-party websites.  Such links are only for the convenience of the reader; the </w:t>
      </w:r>
      <w:r>
        <w:rPr>
          <w:rFonts w:ascii="Bookman Old Style" w:hAnsi="Bookman Old Style"/>
          <w:sz w:val="18"/>
          <w:szCs w:val="18"/>
        </w:rPr>
        <w:t>author</w:t>
      </w:r>
      <w:r w:rsidRPr="000A5C01">
        <w:rPr>
          <w:rFonts w:ascii="Bookman Old Style" w:hAnsi="Bookman Old Style"/>
          <w:sz w:val="18"/>
          <w:szCs w:val="18"/>
        </w:rPr>
        <w:t xml:space="preserve"> </w:t>
      </w:r>
      <w:proofErr w:type="gramStart"/>
      <w:r w:rsidRPr="000A5C01">
        <w:rPr>
          <w:rFonts w:ascii="Bookman Old Style" w:hAnsi="Bookman Old Style"/>
          <w:sz w:val="18"/>
          <w:szCs w:val="18"/>
        </w:rPr>
        <w:t>do</w:t>
      </w:r>
      <w:proofErr w:type="gramEnd"/>
      <w:r w:rsidRPr="000A5C01">
        <w:rPr>
          <w:rFonts w:ascii="Bookman Old Style" w:hAnsi="Bookman Old Style"/>
          <w:sz w:val="18"/>
          <w:szCs w:val="18"/>
        </w:rPr>
        <w:t xml:space="preserve"> not recommend or endorse the contents of the third-party sites.</w:t>
      </w:r>
    </w:p>
    <w:p w14:paraId="29D1BAF0" w14:textId="71AB5D17" w:rsidR="000A5C01" w:rsidRPr="000A5C01" w:rsidRDefault="000A5C01" w:rsidP="000A5C01">
      <w:pPr>
        <w:spacing w:before="100" w:beforeAutospacing="1" w:after="100" w:afterAutospacing="1"/>
        <w:jc w:val="both"/>
        <w:rPr>
          <w:rFonts w:ascii="Bookman Old Style" w:eastAsia="Times New Roman" w:hAnsi="Bookman Old Style" w:cs="Times New Roman"/>
          <w:lang w:val="en-CA"/>
        </w:rPr>
      </w:pPr>
      <w:r w:rsidRPr="000A5C01">
        <w:rPr>
          <w:rFonts w:ascii="Bookman Old Style" w:eastAsia="Times New Roman" w:hAnsi="Bookman Old Style" w:cs="Times New Roman"/>
          <w:sz w:val="18"/>
          <w:szCs w:val="18"/>
          <w:lang w:val="en-CA"/>
        </w:rPr>
        <w:t xml:space="preserve">Readers of this </w:t>
      </w:r>
      <w:r>
        <w:rPr>
          <w:rFonts w:ascii="Bookman Old Style" w:eastAsia="Times New Roman" w:hAnsi="Bookman Old Style" w:cs="Times New Roman"/>
          <w:sz w:val="18"/>
          <w:szCs w:val="18"/>
          <w:lang w:val="en-CA"/>
        </w:rPr>
        <w:t>document</w:t>
      </w:r>
      <w:r w:rsidRPr="000A5C01">
        <w:rPr>
          <w:rFonts w:ascii="Bookman Old Style" w:eastAsia="Times New Roman" w:hAnsi="Bookman Old Style" w:cs="Times New Roman"/>
          <w:sz w:val="18"/>
          <w:szCs w:val="18"/>
          <w:lang w:val="en-CA"/>
        </w:rPr>
        <w:t xml:space="preserve"> should contact their attorney to obtain advice with respect to any </w:t>
      </w:r>
      <w:proofErr w:type="gramStart"/>
      <w:r w:rsidRPr="000A5C01">
        <w:rPr>
          <w:rFonts w:ascii="Bookman Old Style" w:eastAsia="Times New Roman" w:hAnsi="Bookman Old Style" w:cs="Times New Roman"/>
          <w:sz w:val="18"/>
          <w:szCs w:val="18"/>
          <w:lang w:val="en-CA"/>
        </w:rPr>
        <w:t>particular legal</w:t>
      </w:r>
      <w:proofErr w:type="gramEnd"/>
      <w:r w:rsidRPr="000A5C01">
        <w:rPr>
          <w:rFonts w:ascii="Bookman Old Style" w:eastAsia="Times New Roman" w:hAnsi="Bookman Old Style" w:cs="Times New Roman"/>
          <w:sz w:val="18"/>
          <w:szCs w:val="18"/>
          <w:lang w:val="en-CA"/>
        </w:rPr>
        <w:t xml:space="preserve"> matter.  No reader should act or refrain from acting on the basis of information </w:t>
      </w:r>
      <w:r>
        <w:rPr>
          <w:rFonts w:ascii="Bookman Old Style" w:eastAsia="Times New Roman" w:hAnsi="Bookman Old Style" w:cs="Times New Roman"/>
          <w:sz w:val="18"/>
          <w:szCs w:val="18"/>
          <w:lang w:val="en-CA"/>
        </w:rPr>
        <w:t>i</w:t>
      </w:r>
      <w:r w:rsidRPr="000A5C01">
        <w:rPr>
          <w:rFonts w:ascii="Bookman Old Style" w:eastAsia="Times New Roman" w:hAnsi="Bookman Old Style" w:cs="Times New Roman"/>
          <w:sz w:val="18"/>
          <w:szCs w:val="18"/>
          <w:lang w:val="en-CA"/>
        </w:rPr>
        <w:t xml:space="preserve">n this </w:t>
      </w:r>
      <w:r>
        <w:rPr>
          <w:rFonts w:ascii="Bookman Old Style" w:eastAsia="Times New Roman" w:hAnsi="Bookman Old Style" w:cs="Times New Roman"/>
          <w:sz w:val="18"/>
          <w:szCs w:val="18"/>
          <w:lang w:val="en-CA"/>
        </w:rPr>
        <w:t>document</w:t>
      </w:r>
      <w:r w:rsidRPr="000A5C01">
        <w:rPr>
          <w:rFonts w:ascii="Bookman Old Style" w:eastAsia="Times New Roman" w:hAnsi="Bookman Old Style" w:cs="Times New Roman"/>
          <w:sz w:val="18"/>
          <w:szCs w:val="18"/>
          <w:lang w:val="en-CA"/>
        </w:rPr>
        <w:t xml:space="preserve"> without first seeking legal advice from counsel in the relevant jurisdiction.  Only your individual attorney can provide assurances that the information contained herein – and your interpretation of it – is applicable or appropriate to your </w:t>
      </w:r>
      <w:proofErr w:type="gramStart"/>
      <w:r w:rsidRPr="000A5C01">
        <w:rPr>
          <w:rFonts w:ascii="Bookman Old Style" w:eastAsia="Times New Roman" w:hAnsi="Bookman Old Style" w:cs="Times New Roman"/>
          <w:sz w:val="18"/>
          <w:szCs w:val="18"/>
          <w:lang w:val="en-CA"/>
        </w:rPr>
        <w:t>particular</w:t>
      </w:r>
      <w:r>
        <w:rPr>
          <w:rFonts w:ascii="Bookman Old Style" w:eastAsia="Times New Roman" w:hAnsi="Bookman Old Style" w:cs="Times New Roman"/>
          <w:sz w:val="18"/>
          <w:szCs w:val="18"/>
          <w:lang w:val="en-CA"/>
        </w:rPr>
        <w:t xml:space="preserve"> </w:t>
      </w:r>
      <w:r w:rsidRPr="000A5C01">
        <w:rPr>
          <w:rFonts w:ascii="Bookman Old Style" w:eastAsia="Times New Roman" w:hAnsi="Bookman Old Style" w:cs="Times New Roman"/>
          <w:sz w:val="18"/>
          <w:szCs w:val="18"/>
          <w:lang w:val="en-CA"/>
        </w:rPr>
        <w:t>situation</w:t>
      </w:r>
      <w:proofErr w:type="gramEnd"/>
      <w:r w:rsidRPr="000A5C01">
        <w:rPr>
          <w:rFonts w:ascii="Bookman Old Style" w:eastAsia="Times New Roman" w:hAnsi="Bookman Old Style" w:cs="Times New Roman"/>
          <w:sz w:val="18"/>
          <w:szCs w:val="18"/>
          <w:lang w:val="en-CA"/>
        </w:rPr>
        <w:t xml:space="preserve">.  Use of, and access to, this </w:t>
      </w:r>
      <w:r>
        <w:rPr>
          <w:rFonts w:ascii="Bookman Old Style" w:eastAsia="Times New Roman" w:hAnsi="Bookman Old Style" w:cs="Times New Roman"/>
          <w:sz w:val="18"/>
          <w:szCs w:val="18"/>
          <w:lang w:val="en-CA"/>
        </w:rPr>
        <w:t>document</w:t>
      </w:r>
      <w:r w:rsidRPr="000A5C01">
        <w:rPr>
          <w:rFonts w:ascii="Bookman Old Style" w:eastAsia="Times New Roman" w:hAnsi="Bookman Old Style" w:cs="Times New Roman"/>
          <w:sz w:val="18"/>
          <w:szCs w:val="18"/>
          <w:lang w:val="en-CA"/>
        </w:rPr>
        <w:t xml:space="preserve"> or any of the links or resources contained within the </w:t>
      </w:r>
      <w:r>
        <w:rPr>
          <w:rFonts w:ascii="Bookman Old Style" w:eastAsia="Times New Roman" w:hAnsi="Bookman Old Style" w:cs="Times New Roman"/>
          <w:sz w:val="18"/>
          <w:szCs w:val="18"/>
          <w:lang w:val="en-CA"/>
        </w:rPr>
        <w:t>document</w:t>
      </w:r>
      <w:r w:rsidRPr="000A5C01">
        <w:rPr>
          <w:rFonts w:ascii="Bookman Old Style" w:eastAsia="Times New Roman" w:hAnsi="Bookman Old Style" w:cs="Times New Roman"/>
          <w:sz w:val="18"/>
          <w:szCs w:val="18"/>
          <w:lang w:val="en-CA"/>
        </w:rPr>
        <w:t xml:space="preserve"> do not create an attorney-client relationship between the reader, </w:t>
      </w:r>
      <w:r>
        <w:rPr>
          <w:rFonts w:ascii="Bookman Old Style" w:eastAsia="Times New Roman" w:hAnsi="Bookman Old Style" w:cs="Times New Roman"/>
          <w:sz w:val="18"/>
          <w:szCs w:val="18"/>
          <w:lang w:val="en-CA"/>
        </w:rPr>
        <w:t>the</w:t>
      </w:r>
      <w:r w:rsidRPr="000A5C01">
        <w:rPr>
          <w:rFonts w:ascii="Bookman Old Style" w:eastAsia="Times New Roman" w:hAnsi="Bookman Old Style" w:cs="Times New Roman"/>
          <w:sz w:val="18"/>
          <w:szCs w:val="18"/>
          <w:lang w:val="en-CA"/>
        </w:rPr>
        <w:t xml:space="preserve"> author.</w:t>
      </w:r>
    </w:p>
    <w:sectPr w:rsidR="000A5C01" w:rsidRPr="000A5C01" w:rsidSect="008E74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3987" w14:textId="77777777" w:rsidR="0090659D" w:rsidRDefault="0090659D" w:rsidP="006534F6">
      <w:r>
        <w:separator/>
      </w:r>
    </w:p>
  </w:endnote>
  <w:endnote w:type="continuationSeparator" w:id="0">
    <w:p w14:paraId="25730AF3" w14:textId="77777777" w:rsidR="0090659D" w:rsidRDefault="0090659D" w:rsidP="006534F6">
      <w:r>
        <w:continuationSeparator/>
      </w:r>
    </w:p>
  </w:endnote>
  <w:endnote w:id="1">
    <w:p w14:paraId="2AF0C395" w14:textId="77777777" w:rsidR="00EC1427" w:rsidRDefault="00EC1427" w:rsidP="00EC1427">
      <w:pPr>
        <w:pStyle w:val="EndnoteText"/>
      </w:pPr>
      <w:r>
        <w:rPr>
          <w:rStyle w:val="EndnoteReference"/>
        </w:rPr>
        <w:endnoteRef/>
      </w:r>
      <w:r>
        <w:t xml:space="preserve"> </w:t>
      </w:r>
      <w:hyperlink r:id="rId1" w:history="1">
        <w:r w:rsidRPr="00F161B7">
          <w:rPr>
            <w:rStyle w:val="Hyperlink"/>
          </w:rPr>
          <w:t>https://www.canada.ca/en/treasury-board-secretariat/news/2021/08/government-of-canada-to-require-vaccination-of-federal-workforce-and-federally-regulated-transportation-sector.html</w:t>
        </w:r>
      </w:hyperlink>
    </w:p>
    <w:p w14:paraId="718C003F" w14:textId="77777777" w:rsidR="00EC1427" w:rsidRPr="00BB00DE" w:rsidRDefault="00EC1427" w:rsidP="00EC1427">
      <w:pPr>
        <w:pStyle w:val="EndnoteText"/>
        <w:rPr>
          <w:lang w:val="en-CA"/>
        </w:rPr>
      </w:pPr>
    </w:p>
  </w:endnote>
  <w:endnote w:id="2">
    <w:p w14:paraId="22F257EA" w14:textId="77777777" w:rsidR="00EC1427" w:rsidRDefault="00EC1427" w:rsidP="00EC1427">
      <w:pPr>
        <w:pStyle w:val="EndnoteText"/>
      </w:pPr>
      <w:r>
        <w:rPr>
          <w:rStyle w:val="EndnoteReference"/>
        </w:rPr>
        <w:endnoteRef/>
      </w:r>
      <w:r>
        <w:t xml:space="preserve"> </w:t>
      </w:r>
      <w:hyperlink r:id="rId2" w:history="1">
        <w:r w:rsidRPr="00F161B7">
          <w:rPr>
            <w:rStyle w:val="Hyperlink"/>
          </w:rPr>
          <w:t>https://www.canada.ca/en/treasury-board-secretariat/news/2021/08/government-of-canada-to-require-vaccination-of-federal-workforce-and-federally-regulated-transportation-sector.html</w:t>
        </w:r>
      </w:hyperlink>
    </w:p>
    <w:p w14:paraId="46237C8E" w14:textId="77777777" w:rsidR="00EC1427" w:rsidRPr="00BB00DE" w:rsidRDefault="00EC1427" w:rsidP="00EC1427">
      <w:pPr>
        <w:pStyle w:val="EndnoteText"/>
        <w:rPr>
          <w:lang w:val="en-CA"/>
        </w:rPr>
      </w:pPr>
    </w:p>
  </w:endnote>
  <w:endnote w:id="3">
    <w:p w14:paraId="6601550C" w14:textId="77777777" w:rsidR="006534F6" w:rsidRDefault="006534F6" w:rsidP="006534F6">
      <w:pPr>
        <w:pStyle w:val="EndnoteText"/>
      </w:pPr>
      <w:r>
        <w:rPr>
          <w:rStyle w:val="EndnoteReference"/>
        </w:rPr>
        <w:endnoteRef/>
      </w:r>
      <w:r>
        <w:t xml:space="preserve"> </w:t>
      </w:r>
      <w:hyperlink r:id="rId3" w:history="1">
        <w:r w:rsidRPr="00F161B7">
          <w:rPr>
            <w:rStyle w:val="Hyperlink"/>
          </w:rPr>
          <w:t>https://scc-csc.lexum.com/scc-csc/scc-csc/en/item/2161/index.do</w:t>
        </w:r>
      </w:hyperlink>
    </w:p>
    <w:p w14:paraId="5C2889D2" w14:textId="77777777" w:rsidR="006534F6" w:rsidRPr="00F34651" w:rsidRDefault="006534F6" w:rsidP="006534F6">
      <w:pPr>
        <w:pStyle w:val="EndnoteText"/>
        <w:rPr>
          <w:lang w:val="en-CA"/>
        </w:rPr>
      </w:pPr>
    </w:p>
  </w:endnote>
  <w:endnote w:id="4">
    <w:p w14:paraId="3CD05569" w14:textId="55ED63F6" w:rsidR="004C6906" w:rsidRDefault="004C6906">
      <w:pPr>
        <w:pStyle w:val="EndnoteText"/>
      </w:pPr>
      <w:r>
        <w:rPr>
          <w:rStyle w:val="EndnoteReference"/>
        </w:rPr>
        <w:endnoteRef/>
      </w:r>
      <w:r>
        <w:t xml:space="preserve"> </w:t>
      </w:r>
      <w:hyperlink r:id="rId4" w:history="1">
        <w:r w:rsidRPr="003F1CF2">
          <w:rPr>
            <w:rStyle w:val="Hyperlink"/>
          </w:rPr>
          <w:t>http://www.ohrc.on.ca/en/news_centre/covid-19-and-ontario%E2%80%99s-human-rights-code-%E2%80%93-questions-and-answers</w:t>
        </w:r>
      </w:hyperlink>
    </w:p>
    <w:p w14:paraId="01355B68" w14:textId="77777777" w:rsidR="004C6906" w:rsidRPr="004C6906" w:rsidRDefault="004C6906">
      <w:pPr>
        <w:pStyle w:val="EndnoteText"/>
        <w:rPr>
          <w:lang w:val="en-CA"/>
        </w:rPr>
      </w:pPr>
    </w:p>
  </w:endnote>
  <w:endnote w:id="5">
    <w:p w14:paraId="335ECD07" w14:textId="063356D1" w:rsidR="00B9293B" w:rsidRDefault="00B9293B">
      <w:pPr>
        <w:pStyle w:val="EndnoteText"/>
      </w:pPr>
      <w:r>
        <w:rPr>
          <w:rStyle w:val="EndnoteReference"/>
        </w:rPr>
        <w:endnoteRef/>
      </w:r>
      <w:r>
        <w:t xml:space="preserve"> </w:t>
      </w:r>
      <w:hyperlink r:id="rId5" w:history="1">
        <w:r w:rsidRPr="003F1CF2">
          <w:rPr>
            <w:rStyle w:val="Hyperlink"/>
          </w:rPr>
          <w:t>https://scc-csc.lexum.com/scc-csc/scc-csc/en/item/1552/index.do</w:t>
        </w:r>
      </w:hyperlink>
    </w:p>
    <w:p w14:paraId="58998621" w14:textId="77777777" w:rsidR="00B9293B" w:rsidRPr="00B9293B" w:rsidRDefault="00B9293B">
      <w:pPr>
        <w:pStyle w:val="EndnoteText"/>
        <w:rPr>
          <w:lang w:val="en-CA"/>
        </w:rPr>
      </w:pPr>
    </w:p>
  </w:endnote>
  <w:endnote w:id="6">
    <w:p w14:paraId="61A2F25D" w14:textId="77777777" w:rsidR="008B6A82" w:rsidRDefault="008B6A82" w:rsidP="008B6A82">
      <w:pPr>
        <w:pStyle w:val="EndnoteText"/>
      </w:pPr>
      <w:r>
        <w:rPr>
          <w:rStyle w:val="EndnoteReference"/>
        </w:rPr>
        <w:endnoteRef/>
      </w:r>
      <w:r>
        <w:t xml:space="preserve"> </w:t>
      </w:r>
      <w:hyperlink r:id="rId6" w:history="1">
        <w:r w:rsidRPr="00F161B7">
          <w:rPr>
            <w:rStyle w:val="Hyperlink"/>
          </w:rPr>
          <w:t>https://scc-csc.lexum.com/scc-csc/scc-csc/en/item/1552/index.do</w:t>
        </w:r>
      </w:hyperlink>
    </w:p>
    <w:p w14:paraId="4338B9B2" w14:textId="77777777" w:rsidR="008B6A82" w:rsidRPr="00BB00DE" w:rsidRDefault="008B6A82" w:rsidP="008B6A82">
      <w:pPr>
        <w:pStyle w:val="EndnoteText"/>
        <w:rPr>
          <w:lang w:val="en-CA"/>
        </w:rPr>
      </w:pPr>
    </w:p>
  </w:endnote>
  <w:endnote w:id="7">
    <w:p w14:paraId="5A62922B" w14:textId="77777777" w:rsidR="00EC1427" w:rsidRDefault="00EC1427" w:rsidP="00EC1427">
      <w:pPr>
        <w:pStyle w:val="EndnoteText"/>
      </w:pPr>
      <w:r>
        <w:rPr>
          <w:rStyle w:val="EndnoteReference"/>
        </w:rPr>
        <w:endnoteRef/>
      </w:r>
      <w:r>
        <w:t xml:space="preserve"> </w:t>
      </w:r>
      <w:hyperlink r:id="rId7" w:history="1">
        <w:r w:rsidRPr="00F161B7">
          <w:rPr>
            <w:rStyle w:val="Hyperlink"/>
          </w:rPr>
          <w:t>https://www.ontario.ca/page/covid-19-workplace-health-safety</w:t>
        </w:r>
      </w:hyperlink>
    </w:p>
    <w:p w14:paraId="128E5A7C" w14:textId="77777777" w:rsidR="00EC1427" w:rsidRDefault="00CA148A" w:rsidP="00EC1427">
      <w:pPr>
        <w:pStyle w:val="EndnoteText"/>
        <w:rPr>
          <w:lang w:val="en-CA"/>
        </w:rPr>
      </w:pPr>
      <w:hyperlink r:id="rId8" w:history="1">
        <w:r w:rsidR="00EC1427" w:rsidRPr="00F161B7">
          <w:rPr>
            <w:rStyle w:val="Hyperlink"/>
            <w:lang w:val="en-CA"/>
          </w:rPr>
          <w:t>https://www.ontario.ca/page/screening-covid-19-guidance-employers</w:t>
        </w:r>
      </w:hyperlink>
    </w:p>
    <w:p w14:paraId="7A31F8DF" w14:textId="77777777" w:rsidR="00EC1427" w:rsidRPr="007336C4" w:rsidRDefault="00EC1427" w:rsidP="00EC1427">
      <w:pPr>
        <w:pStyle w:val="EndnoteText"/>
        <w:rPr>
          <w:lang w:val="en-CA"/>
        </w:rPr>
      </w:pPr>
    </w:p>
  </w:endnote>
  <w:endnote w:id="8">
    <w:p w14:paraId="6A257B32" w14:textId="77777777" w:rsidR="00EC1427" w:rsidRDefault="00EC1427" w:rsidP="00EC1427">
      <w:pPr>
        <w:pStyle w:val="EndnoteText"/>
      </w:pPr>
      <w:r>
        <w:rPr>
          <w:rStyle w:val="EndnoteReference"/>
        </w:rPr>
        <w:endnoteRef/>
      </w:r>
      <w:hyperlink r:id="rId9" w:history="1">
        <w:r w:rsidRPr="00F161B7">
          <w:rPr>
            <w:rStyle w:val="Hyperlink"/>
          </w:rPr>
          <w:t>https://www.health.gov.on.ca/en/pro/programs/publichealth/coronavirus/docs/directives/vaccination_policy_in_health_settings.pdf</w:t>
        </w:r>
      </w:hyperlink>
    </w:p>
    <w:p w14:paraId="3AF4147E" w14:textId="77777777" w:rsidR="00EC1427" w:rsidRPr="00F34651" w:rsidRDefault="00EC1427" w:rsidP="00EC1427">
      <w:pPr>
        <w:pStyle w:val="EndnoteText"/>
        <w:rPr>
          <w:lang w:val="en-CA"/>
        </w:rPr>
      </w:pPr>
    </w:p>
  </w:endnote>
  <w:endnote w:id="9">
    <w:p w14:paraId="6B970370" w14:textId="77777777" w:rsidR="008B4F78" w:rsidRDefault="008B4F78" w:rsidP="008B4F78">
      <w:pPr>
        <w:pStyle w:val="EndnoteText"/>
      </w:pPr>
      <w:r>
        <w:rPr>
          <w:rStyle w:val="EndnoteReference"/>
        </w:rPr>
        <w:endnoteRef/>
      </w:r>
      <w:r>
        <w:t xml:space="preserve"> </w:t>
      </w:r>
      <w:hyperlink r:id="rId10" w:history="1">
        <w:r w:rsidRPr="00F161B7">
          <w:rPr>
            <w:rStyle w:val="Hyperlink"/>
          </w:rPr>
          <w:t>https://scc-csc.lexum.com/scc-csc/scc-csc/en/item/2161/index.do</w:t>
        </w:r>
      </w:hyperlink>
    </w:p>
    <w:p w14:paraId="1B6BBD80" w14:textId="77777777" w:rsidR="008B4F78" w:rsidRPr="00F34651" w:rsidRDefault="008B4F78" w:rsidP="008B4F78">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D5123" w14:textId="77777777" w:rsidR="0090659D" w:rsidRDefault="0090659D" w:rsidP="006534F6">
      <w:r>
        <w:separator/>
      </w:r>
    </w:p>
  </w:footnote>
  <w:footnote w:type="continuationSeparator" w:id="0">
    <w:p w14:paraId="3C99B1B4" w14:textId="77777777" w:rsidR="0090659D" w:rsidRDefault="0090659D" w:rsidP="00653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1152"/>
    <w:multiLevelType w:val="hybridMultilevel"/>
    <w:tmpl w:val="E7BCA01E"/>
    <w:lvl w:ilvl="0" w:tplc="16D2DFB0">
      <w:start w:val="1"/>
      <w:numFmt w:val="decimal"/>
      <w:lvlText w:val="%1."/>
      <w:lvlJc w:val="left"/>
      <w:pPr>
        <w:ind w:left="720" w:hanging="360"/>
      </w:pPr>
      <w:rPr>
        <w:rFonts w:ascii="Bookman Old Style" w:hAnsi="Bookman Old Styl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A6BCC"/>
    <w:multiLevelType w:val="multilevel"/>
    <w:tmpl w:val="5DC6F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A5A38"/>
    <w:multiLevelType w:val="multilevel"/>
    <w:tmpl w:val="B4E0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F6"/>
    <w:rsid w:val="00026079"/>
    <w:rsid w:val="000805DC"/>
    <w:rsid w:val="000A5C01"/>
    <w:rsid w:val="00123609"/>
    <w:rsid w:val="00136516"/>
    <w:rsid w:val="00174789"/>
    <w:rsid w:val="001A4B05"/>
    <w:rsid w:val="002B6057"/>
    <w:rsid w:val="00311A5B"/>
    <w:rsid w:val="0032789C"/>
    <w:rsid w:val="003D409E"/>
    <w:rsid w:val="0045384B"/>
    <w:rsid w:val="004C6906"/>
    <w:rsid w:val="00595A38"/>
    <w:rsid w:val="005A0A1F"/>
    <w:rsid w:val="005E2BF5"/>
    <w:rsid w:val="00624DA9"/>
    <w:rsid w:val="006534F6"/>
    <w:rsid w:val="00660336"/>
    <w:rsid w:val="00682D71"/>
    <w:rsid w:val="007D4A15"/>
    <w:rsid w:val="008B4F78"/>
    <w:rsid w:val="008B6A82"/>
    <w:rsid w:val="008D460A"/>
    <w:rsid w:val="008E745A"/>
    <w:rsid w:val="0090659D"/>
    <w:rsid w:val="00996C77"/>
    <w:rsid w:val="00A7292A"/>
    <w:rsid w:val="00B84BC2"/>
    <w:rsid w:val="00B9293B"/>
    <w:rsid w:val="00CA148A"/>
    <w:rsid w:val="00D40A62"/>
    <w:rsid w:val="00D419C4"/>
    <w:rsid w:val="00DF3A3A"/>
    <w:rsid w:val="00E20F18"/>
    <w:rsid w:val="00EC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19E5"/>
  <w15:chartTrackingRefBased/>
  <w15:docId w15:val="{B43E7914-BF7D-C045-88BA-6DF35470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C6906"/>
    <w:pPr>
      <w:spacing w:before="100" w:beforeAutospacing="1" w:after="100" w:afterAutospacing="1"/>
      <w:outlineLvl w:val="3"/>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534F6"/>
    <w:rPr>
      <w:sz w:val="20"/>
      <w:szCs w:val="20"/>
    </w:rPr>
  </w:style>
  <w:style w:type="character" w:customStyle="1" w:styleId="EndnoteTextChar">
    <w:name w:val="Endnote Text Char"/>
    <w:basedOn w:val="DefaultParagraphFont"/>
    <w:link w:val="EndnoteText"/>
    <w:uiPriority w:val="99"/>
    <w:rsid w:val="006534F6"/>
    <w:rPr>
      <w:sz w:val="20"/>
      <w:szCs w:val="20"/>
    </w:rPr>
  </w:style>
  <w:style w:type="character" w:styleId="EndnoteReference">
    <w:name w:val="endnote reference"/>
    <w:basedOn w:val="DefaultParagraphFont"/>
    <w:uiPriority w:val="99"/>
    <w:semiHidden/>
    <w:unhideWhenUsed/>
    <w:rsid w:val="006534F6"/>
    <w:rPr>
      <w:vertAlign w:val="superscript"/>
    </w:rPr>
  </w:style>
  <w:style w:type="character" w:styleId="Hyperlink">
    <w:name w:val="Hyperlink"/>
    <w:basedOn w:val="DefaultParagraphFont"/>
    <w:uiPriority w:val="99"/>
    <w:unhideWhenUsed/>
    <w:rsid w:val="006534F6"/>
    <w:rPr>
      <w:color w:val="0563C1" w:themeColor="hyperlink"/>
      <w:u w:val="single"/>
    </w:rPr>
  </w:style>
  <w:style w:type="paragraph" w:customStyle="1" w:styleId="Body">
    <w:name w:val="Body"/>
    <w:rsid w:val="008B6A82"/>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ListParagraph">
    <w:name w:val="List Paragraph"/>
    <w:uiPriority w:val="34"/>
    <w:qFormat/>
    <w:rsid w:val="008B6A82"/>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character" w:styleId="UnresolvedMention">
    <w:name w:val="Unresolved Mention"/>
    <w:basedOn w:val="DefaultParagraphFont"/>
    <w:uiPriority w:val="99"/>
    <w:rsid w:val="00B9293B"/>
    <w:rPr>
      <w:color w:val="605E5C"/>
      <w:shd w:val="clear" w:color="auto" w:fill="E1DFDD"/>
    </w:rPr>
  </w:style>
  <w:style w:type="character" w:styleId="FollowedHyperlink">
    <w:name w:val="FollowedHyperlink"/>
    <w:basedOn w:val="DefaultParagraphFont"/>
    <w:uiPriority w:val="99"/>
    <w:semiHidden/>
    <w:unhideWhenUsed/>
    <w:rsid w:val="00123609"/>
    <w:rPr>
      <w:color w:val="954F72" w:themeColor="followedHyperlink"/>
      <w:u w:val="single"/>
    </w:rPr>
  </w:style>
  <w:style w:type="character" w:customStyle="1" w:styleId="Heading4Char">
    <w:name w:val="Heading 4 Char"/>
    <w:basedOn w:val="DefaultParagraphFont"/>
    <w:link w:val="Heading4"/>
    <w:uiPriority w:val="9"/>
    <w:rsid w:val="004C6906"/>
    <w:rPr>
      <w:rFonts w:ascii="Times New Roman" w:eastAsia="Times New Roman" w:hAnsi="Times New Roman" w:cs="Times New Roman"/>
      <w:b/>
      <w:bCs/>
      <w:lang w:val="en-CA"/>
    </w:rPr>
  </w:style>
  <w:style w:type="character" w:styleId="Emphasis">
    <w:name w:val="Emphasis"/>
    <w:basedOn w:val="DefaultParagraphFont"/>
    <w:uiPriority w:val="20"/>
    <w:qFormat/>
    <w:rsid w:val="004C6906"/>
    <w:rPr>
      <w:i/>
      <w:iCs/>
    </w:rPr>
  </w:style>
  <w:style w:type="character" w:styleId="Strong">
    <w:name w:val="Strong"/>
    <w:basedOn w:val="DefaultParagraphFont"/>
    <w:uiPriority w:val="22"/>
    <w:qFormat/>
    <w:rsid w:val="004C6906"/>
    <w:rPr>
      <w:b/>
      <w:bCs/>
    </w:rPr>
  </w:style>
  <w:style w:type="paragraph" w:styleId="NormalWeb">
    <w:name w:val="Normal (Web)"/>
    <w:basedOn w:val="Normal"/>
    <w:uiPriority w:val="99"/>
    <w:semiHidden/>
    <w:unhideWhenUsed/>
    <w:rsid w:val="004C6906"/>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727651">
      <w:bodyDiv w:val="1"/>
      <w:marLeft w:val="0"/>
      <w:marRight w:val="0"/>
      <w:marTop w:val="0"/>
      <w:marBottom w:val="0"/>
      <w:divBdr>
        <w:top w:val="none" w:sz="0" w:space="0" w:color="auto"/>
        <w:left w:val="none" w:sz="0" w:space="0" w:color="auto"/>
        <w:bottom w:val="none" w:sz="0" w:space="0" w:color="auto"/>
        <w:right w:val="none" w:sz="0" w:space="0" w:color="auto"/>
      </w:divBdr>
    </w:div>
    <w:div w:id="7331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ur.gov.on.ca/english/hs/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rc.on.ca/en/policy-preventing-discrimination-based-creed"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ontario.ca/page/screening-covid-19-guidance-employers" TargetMode="External"/><Relationship Id="rId3" Type="http://schemas.openxmlformats.org/officeDocument/2006/relationships/hyperlink" Target="https://scc-csc.lexum.com/scc-csc/scc-csc/en/item/2161/index.do" TargetMode="External"/><Relationship Id="rId7" Type="http://schemas.openxmlformats.org/officeDocument/2006/relationships/hyperlink" Target="https://www.ontario.ca/page/covid-19-workplace-health-safety" TargetMode="External"/><Relationship Id="rId2" Type="http://schemas.openxmlformats.org/officeDocument/2006/relationships/hyperlink" Target="https://www.canada.ca/en/treasury-board-secretariat/news/2021/08/government-of-canada-to-require-vaccination-of-federal-workforce-and-federally-regulated-transportation-sector.html" TargetMode="External"/><Relationship Id="rId1" Type="http://schemas.openxmlformats.org/officeDocument/2006/relationships/hyperlink" Target="https://www.canada.ca/en/treasury-board-secretariat/news/2021/08/government-of-canada-to-require-vaccination-of-federal-workforce-and-federally-regulated-transportation-sector.html" TargetMode="External"/><Relationship Id="rId6" Type="http://schemas.openxmlformats.org/officeDocument/2006/relationships/hyperlink" Target="https://scc-csc.lexum.com/scc-csc/scc-csc/en/item/1552/index.do" TargetMode="External"/><Relationship Id="rId5" Type="http://schemas.openxmlformats.org/officeDocument/2006/relationships/hyperlink" Target="https://scc-csc.lexum.com/scc-csc/scc-csc/en/item/1552/index.do" TargetMode="External"/><Relationship Id="rId10" Type="http://schemas.openxmlformats.org/officeDocument/2006/relationships/hyperlink" Target="https://scc-csc.lexum.com/scc-csc/scc-csc/en/item/2161/index.do" TargetMode="External"/><Relationship Id="rId4" Type="http://schemas.openxmlformats.org/officeDocument/2006/relationships/hyperlink" Target="http://www.ohrc.on.ca/en/news_centre/covid-19-and-ontario%E2%80%99s-human-rights-code-%E2%80%93-questions-and-answers" TargetMode="External"/><Relationship Id="rId9" Type="http://schemas.openxmlformats.org/officeDocument/2006/relationships/hyperlink" Target="https://www.health.gov.on.ca/en/pro/programs/publichealth/coronavirus/docs/directives/vaccination_policy_in_health_set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696B-DBC5-0C42-9D69-FADD6851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2151</Words>
  <Characters>12265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Grace</dc:creator>
  <cp:keywords/>
  <dc:description/>
  <cp:lastModifiedBy>Keys, Tina</cp:lastModifiedBy>
  <cp:revision>2</cp:revision>
  <dcterms:created xsi:type="dcterms:W3CDTF">2021-09-23T16:22:00Z</dcterms:created>
  <dcterms:modified xsi:type="dcterms:W3CDTF">2021-09-23T16:22:00Z</dcterms:modified>
</cp:coreProperties>
</file>